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ECO-BRIDGE KAWEMPE</w:t>
      </w:r>
    </w:p>
    <w:p>
      <w:pPr>
        <w:pStyle w:val="BodyText"/>
      </w:pPr>
      <w:r>
        <w:t xml:space="preserve">Community-Based Organization</w:t>
      </w:r>
    </w:p>
    <w:p>
      <w:pPr>
        <w:pStyle w:val="BodyText"/>
      </w:pPr>
      <w:r>
        <w:rPr>
          <w:i/>
          <w:iCs/>
        </w:rPr>
        <w:t xml:space="preserve">“Bridging Communities to Environmental Solutions”</w:t>
      </w:r>
    </w:p>
    <w:p>
      <w:pPr>
        <w:pStyle w:val="BodyText"/>
      </w:pPr>
      <w:r>
        <w:rPr>
          <w:b/>
          <w:bCs/>
        </w:rPr>
        <w:t xml:space="preserve">CONSTITUTION</w:t>
      </w:r>
    </w:p>
    <w:p>
      <w:pPr>
        <w:pStyle w:val="BodyText"/>
      </w:pPr>
      <w:r>
        <w:t xml:space="preserve">Adopted in the Year 2026</w:t>
      </w:r>
    </w:p>
    <w:p>
      <w:pPr>
        <w:pStyle w:val="BodyText"/>
      </w:pPr>
      <w:r>
        <w:rPr>
          <w:b/>
          <w:bCs/>
        </w:rPr>
        <w:t xml:space="preserve">Registered Office:</w:t>
      </w:r>
    </w:p>
    <w:p>
      <w:pPr>
        <w:pStyle w:val="BodyText"/>
      </w:pPr>
      <w:r>
        <w:t xml:space="preserve">University Hall, Makerere University, Kampala, Uganda</w:t>
      </w:r>
    </w:p>
    <w:p>
      <w:pPr>
        <w:pStyle w:val="BodyText"/>
      </w:pPr>
      <w:r>
        <w:t xml:space="preserve">P.O. Box __________________, Kampala</w:t>
      </w:r>
    </w:p>
    <w:p>
      <w:pPr>
        <w:pStyle w:val="BodyText"/>
      </w:pPr>
      <w:r>
        <w:t xml:space="preserve">Email: ecobridge@gmail.com</w:t>
      </w:r>
    </w:p>
    <w:bookmarkStart w:id="20" w:name="preamble"/>
    <w:p>
      <w:pPr>
        <w:pStyle w:val="Heading1"/>
      </w:pPr>
      <w:r>
        <w:t xml:space="preserve">PREAMBLE</w:t>
      </w:r>
    </w:p>
    <w:p>
      <w:pPr>
        <w:pStyle w:val="FirstParagraph"/>
      </w:pPr>
      <w:r>
        <w:t xml:space="preserve">We, the founding members of ECO-BRIDGE KAWEMPE, being citizens of the Republic of Uganda and residents of Kampala District, united by our commitment to environmental sustainability, community empowerment, and social development;</w:t>
      </w:r>
    </w:p>
    <w:p>
      <w:pPr>
        <w:pStyle w:val="BodyText"/>
      </w:pPr>
      <w:r>
        <w:t xml:space="preserve">Recognising the need to address environmental degradation, poor sanitation, and the social and economic challenges affecting our communities through coordinated, community-led initiatives;</w:t>
      </w:r>
    </w:p>
    <w:p>
      <w:pPr>
        <w:pStyle w:val="BodyText"/>
      </w:pPr>
      <w:r>
        <w:t xml:space="preserve">Committed to the principles of transparency, accountability, inclusivity, and participatory governance as provided for under the Constitution of the Republic of Uganda, 1995 (as amended);</w:t>
      </w:r>
    </w:p>
    <w:p>
      <w:pPr>
        <w:pStyle w:val="BodyText"/>
      </w:pPr>
      <w:r>
        <w:t xml:space="preserve">In exercise of our right to freedom of association and in accordance with the Non-Governmental Organizations Act, 2016 and the Non-Governmental Organizations Regulations, 2017, do hereby adopt this Constitution as the governing instrument of ECO-BRIDGE KAWEMPE.</w:t>
      </w:r>
    </w:p>
    <w:bookmarkEnd w:id="20"/>
    <w:bookmarkStart w:id="23" w:name="part-i-preliminary"/>
    <w:p>
      <w:pPr>
        <w:pStyle w:val="Heading1"/>
      </w:pPr>
      <w:r>
        <w:t xml:space="preserve">PART I — PRELIMINARY</w:t>
      </w:r>
    </w:p>
    <w:bookmarkStart w:id="21" w:name="Xf474f3e1a48f52c1b23eb917af46ac757ba3473"/>
    <w:p>
      <w:pPr>
        <w:pStyle w:val="Heading2"/>
      </w:pPr>
      <w:r>
        <w:t xml:space="preserve">Article 1: Name and Nature of the Organization</w:t>
      </w:r>
    </w:p>
    <w:p>
      <w:pPr>
        <w:pStyle w:val="FirstParagraph"/>
      </w:pPr>
      <w:r>
        <w:t xml:space="preserve">1.1 The Organization shall be known as ECO-BRIDGE KAWEMPE (hereinafter referred to as</w:t>
      </w:r>
      <w:r>
        <w:t xml:space="preserve"> </w:t>
      </w:r>
      <w:r>
        <w:t xml:space="preserve">“the Organization”</w:t>
      </w:r>
      <w:r>
        <w:t xml:space="preserve">).</w:t>
      </w:r>
    </w:p>
    <w:p>
      <w:pPr>
        <w:pStyle w:val="BodyText"/>
      </w:pPr>
      <w:r>
        <w:t xml:space="preserve">1.2 ECO-BRIDGE KAWEMPE is established as a Community-Based Organization (CBO) operating on a non-governmental, non-political, non-profit, non-sectarian, and non-discriminatory basis.</w:t>
      </w:r>
    </w:p>
    <w:p>
      <w:pPr>
        <w:pStyle w:val="BodyText"/>
      </w:pPr>
      <w:r>
        <w:t xml:space="preserve">1.3 The Organization shall operate in compliance with the Constitution of the Republic of Uganda, 1995 (as amended), the Non-Governmental Organizations Act, 2016, and any other applicable laws of Uganda.</w:t>
      </w:r>
    </w:p>
    <w:p>
      <w:pPr>
        <w:pStyle w:val="BodyText"/>
      </w:pPr>
      <w:r>
        <w:t xml:space="preserve">1.4 The Organization shall have perpetual succession, a common seal, and may sue and be sued in its own name.</w:t>
      </w:r>
    </w:p>
    <w:bookmarkEnd w:id="21"/>
    <w:bookmarkStart w:id="22" w:name="X8fc3db722e63aac485de4eb9961624b052cc261"/>
    <w:p>
      <w:pPr>
        <w:pStyle w:val="Heading2"/>
      </w:pPr>
      <w:r>
        <w:t xml:space="preserve">Article 2: Registered Office and Area of Operation</w:t>
      </w:r>
    </w:p>
    <w:p>
      <w:pPr>
        <w:pStyle w:val="FirstParagraph"/>
      </w:pPr>
      <w:r>
        <w:t xml:space="preserve">2.1 The registered office of the Organization shall be located at University Hall, Makerere University, Kampala, Uganda.</w:t>
      </w:r>
    </w:p>
    <w:p>
      <w:pPr>
        <w:pStyle w:val="BodyText"/>
      </w:pPr>
      <w:r>
        <w:t xml:space="preserve">2.2 The primary area of operation shall be Kawempe Division, Kampala. The Organization may extend its operations to other areas with the approval of the General Assembly and the relevant authorities.</w:t>
      </w:r>
    </w:p>
    <w:bookmarkEnd w:id="22"/>
    <w:bookmarkEnd w:id="23"/>
    <w:bookmarkStart w:id="29" w:name="part-ii-vision-mission-and-objectives"/>
    <w:p>
      <w:pPr>
        <w:pStyle w:val="Heading1"/>
      </w:pPr>
      <w:r>
        <w:t xml:space="preserve">PART II — VISION, MISSION AND OBJECTIVES</w:t>
      </w:r>
    </w:p>
    <w:bookmarkStart w:id="24" w:name="article-3-vision"/>
    <w:p>
      <w:pPr>
        <w:pStyle w:val="Heading2"/>
      </w:pPr>
      <w:r>
        <w:t xml:space="preserve">Article 3: Vision</w:t>
      </w:r>
    </w:p>
    <w:p>
      <w:pPr>
        <w:pStyle w:val="FirstParagraph"/>
      </w:pPr>
      <w:r>
        <w:t xml:space="preserve">To see communities living in a clean, healthy, and sustainable environment, where youth and women are empowered to take leadership in environmental conservation and community development.</w:t>
      </w:r>
    </w:p>
    <w:bookmarkEnd w:id="24"/>
    <w:bookmarkStart w:id="25" w:name="article-4-mission"/>
    <w:p>
      <w:pPr>
        <w:pStyle w:val="Heading2"/>
      </w:pPr>
      <w:r>
        <w:t xml:space="preserve">Article 4: Mission</w:t>
      </w:r>
    </w:p>
    <w:p>
      <w:pPr>
        <w:pStyle w:val="FirstParagraph"/>
      </w:pPr>
      <w:r>
        <w:t xml:space="preserve">To empower communities, particularly youth and women, through environmental conservation, health promotion, skills development, and civic engagement, in order to build cleaner, healthier, and more resilient communities.</w:t>
      </w:r>
    </w:p>
    <w:bookmarkEnd w:id="25"/>
    <w:bookmarkStart w:id="26" w:name="article-5-core-values"/>
    <w:p>
      <w:pPr>
        <w:pStyle w:val="Heading2"/>
      </w:pPr>
      <w:r>
        <w:t xml:space="preserve">Article 5: Core Values</w:t>
      </w:r>
    </w:p>
    <w:p>
      <w:pPr>
        <w:pStyle w:val="FirstParagraph"/>
      </w:pPr>
      <w:r>
        <w:t xml:space="preserve">The Organization shall be guided by the following values:</w:t>
      </w:r>
    </w:p>
    <w:p>
      <w:pPr>
        <w:pStyle w:val="Compact"/>
        <w:numPr>
          <w:ilvl w:val="0"/>
          <w:numId w:val="1001"/>
        </w:numPr>
      </w:pPr>
      <w:r>
        <w:t xml:space="preserve">Environmental stewardship and care for the community</w:t>
      </w:r>
    </w:p>
    <w:p>
      <w:pPr>
        <w:pStyle w:val="Compact"/>
        <w:numPr>
          <w:ilvl w:val="0"/>
          <w:numId w:val="1001"/>
        </w:numPr>
      </w:pPr>
      <w:r>
        <w:t xml:space="preserve">Integrity, honesty, and transparency in all activities</w:t>
      </w:r>
    </w:p>
    <w:p>
      <w:pPr>
        <w:pStyle w:val="Compact"/>
        <w:numPr>
          <w:ilvl w:val="0"/>
          <w:numId w:val="1001"/>
        </w:numPr>
      </w:pPr>
      <w:r>
        <w:t xml:space="preserve">Inclusivity and equal opportunity for all members and beneficiaries</w:t>
      </w:r>
    </w:p>
    <w:p>
      <w:pPr>
        <w:pStyle w:val="Compact"/>
        <w:numPr>
          <w:ilvl w:val="0"/>
          <w:numId w:val="1001"/>
        </w:numPr>
      </w:pPr>
      <w:r>
        <w:t xml:space="preserve">Community participation and ownership</w:t>
      </w:r>
    </w:p>
    <w:p>
      <w:pPr>
        <w:pStyle w:val="Compact"/>
        <w:numPr>
          <w:ilvl w:val="0"/>
          <w:numId w:val="1001"/>
        </w:numPr>
      </w:pPr>
      <w:r>
        <w:t xml:space="preserve">Accountability to members, beneficiaries, and partners</w:t>
      </w:r>
    </w:p>
    <w:p>
      <w:pPr>
        <w:pStyle w:val="Compact"/>
        <w:numPr>
          <w:ilvl w:val="0"/>
          <w:numId w:val="1001"/>
        </w:numPr>
      </w:pPr>
      <w:r>
        <w:t xml:space="preserve">Respect for human rights and dignity</w:t>
      </w:r>
    </w:p>
    <w:bookmarkEnd w:id="26"/>
    <w:bookmarkStart w:id="27" w:name="article-6-objectives-of-the-organization"/>
    <w:p>
      <w:pPr>
        <w:pStyle w:val="Heading2"/>
      </w:pPr>
      <w:r>
        <w:t xml:space="preserve">Article 6: Objectives of the Organization</w:t>
      </w:r>
    </w:p>
    <w:p>
      <w:pPr>
        <w:pStyle w:val="FirstParagraph"/>
      </w:pPr>
      <w:r>
        <w:t xml:space="preserve">The Organization shall pursue the following five (5) objectives:</w:t>
      </w:r>
    </w:p>
    <w:p>
      <w:pPr>
        <w:pStyle w:val="Compact"/>
        <w:numPr>
          <w:ilvl w:val="0"/>
          <w:numId w:val="1002"/>
        </w:numPr>
      </w:pPr>
      <w:r>
        <w:t xml:space="preserve">To promote environmental conservation through tree planting, waste management, clean-up activities, and pollution reduction within Kawempe Division and surrounding communities.</w:t>
      </w:r>
    </w:p>
    <w:p>
      <w:pPr>
        <w:pStyle w:val="Compact"/>
        <w:numPr>
          <w:ilvl w:val="0"/>
          <w:numId w:val="1002"/>
        </w:numPr>
      </w:pPr>
      <w:r>
        <w:t xml:space="preserve">To improve community health and well-being through Water, Sanitation and Hygiene (WASH) education, environmental health awareness, and disease prevention activities in schools and households.</w:t>
      </w:r>
    </w:p>
    <w:p>
      <w:pPr>
        <w:pStyle w:val="Compact"/>
        <w:numPr>
          <w:ilvl w:val="0"/>
          <w:numId w:val="1002"/>
        </w:numPr>
      </w:pPr>
      <w:r>
        <w:t xml:space="preserve">To empower youth and women economically through vocational skills training, composting, plastic upcycling, and other eco-friendly income-generating activities.</w:t>
      </w:r>
    </w:p>
    <w:p>
      <w:pPr>
        <w:pStyle w:val="Compact"/>
        <w:numPr>
          <w:ilvl w:val="0"/>
          <w:numId w:val="1002"/>
        </w:numPr>
      </w:pPr>
      <w:r>
        <w:t xml:space="preserve">To build environmental literacy and youth leadership through school outreach programmes, community workshops, and the formation of environmental clubs.</w:t>
      </w:r>
    </w:p>
    <w:p>
      <w:pPr>
        <w:pStyle w:val="Compact"/>
        <w:numPr>
          <w:ilvl w:val="0"/>
          <w:numId w:val="1002"/>
        </w:numPr>
      </w:pPr>
      <w:r>
        <w:t xml:space="preserve">To strengthen community participation and civic engagement by working closely with Local Council leaders, government authorities, and partner organisations.</w:t>
      </w:r>
    </w:p>
    <w:bookmarkEnd w:id="27"/>
    <w:bookmarkStart w:id="28" w:name="article-7-restrictions-on-activities"/>
    <w:p>
      <w:pPr>
        <w:pStyle w:val="Heading2"/>
      </w:pPr>
      <w:r>
        <w:t xml:space="preserve">Article 7: Restrictions on Activities</w:t>
      </w:r>
    </w:p>
    <w:p>
      <w:pPr>
        <w:pStyle w:val="FirstParagraph"/>
      </w:pPr>
      <w:r>
        <w:t xml:space="preserve">The Organization shall NOT:</w:t>
      </w:r>
    </w:p>
    <w:p>
      <w:pPr>
        <w:pStyle w:val="Compact"/>
        <w:numPr>
          <w:ilvl w:val="0"/>
          <w:numId w:val="1003"/>
        </w:numPr>
      </w:pPr>
      <w:r>
        <w:t xml:space="preserve">Engage in any political party activities or partisan politics.</w:t>
      </w:r>
    </w:p>
    <w:p>
      <w:pPr>
        <w:pStyle w:val="Compact"/>
        <w:numPr>
          <w:ilvl w:val="0"/>
          <w:numId w:val="1003"/>
        </w:numPr>
      </w:pPr>
      <w:r>
        <w:t xml:space="preserve">Distribute profits, income, or assets to members, officials, or any private individual.</w:t>
      </w:r>
    </w:p>
    <w:p>
      <w:pPr>
        <w:pStyle w:val="Compact"/>
        <w:numPr>
          <w:ilvl w:val="0"/>
          <w:numId w:val="1003"/>
        </w:numPr>
      </w:pPr>
      <w:r>
        <w:t xml:space="preserve">Support or promote violence, illegal activities, or activities that threaten national security.</w:t>
      </w:r>
    </w:p>
    <w:p>
      <w:pPr>
        <w:pStyle w:val="Compact"/>
        <w:numPr>
          <w:ilvl w:val="0"/>
          <w:numId w:val="1003"/>
        </w:numPr>
      </w:pPr>
      <w:r>
        <w:t xml:space="preserve">Undertake any activity outside its stated objectives.</w:t>
      </w:r>
    </w:p>
    <w:bookmarkEnd w:id="28"/>
    <w:bookmarkEnd w:id="29"/>
    <w:bookmarkStart w:id="35" w:name="part-iii-membership"/>
    <w:p>
      <w:pPr>
        <w:pStyle w:val="Heading1"/>
      </w:pPr>
      <w:r>
        <w:t xml:space="preserve">PART III — MEMBERSHIP</w:t>
      </w:r>
    </w:p>
    <w:bookmarkStart w:id="30" w:name="article-8-membership"/>
    <w:p>
      <w:pPr>
        <w:pStyle w:val="Heading2"/>
      </w:pPr>
      <w:r>
        <w:t xml:space="preserve">Article 8: Membership</w:t>
      </w:r>
    </w:p>
    <w:p>
      <w:pPr>
        <w:pStyle w:val="FirstParagraph"/>
      </w:pPr>
      <w:r>
        <w:t xml:space="preserve">8.1 Membership of the Organization shall be open to any Ugandan citizen aged eighteen (18) years and above who subscribes to the objectives of the Organization and agrees to abide by this Constitution.</w:t>
      </w:r>
    </w:p>
    <w:p>
      <w:pPr>
        <w:pStyle w:val="BodyText"/>
      </w:pPr>
      <w:r>
        <w:t xml:space="preserve">8.2 There shall be three (3) categories of membership:</w:t>
      </w:r>
    </w:p>
    <w:p>
      <w:pPr>
        <w:pStyle w:val="Compact"/>
        <w:numPr>
          <w:ilvl w:val="0"/>
          <w:numId w:val="1004"/>
        </w:numPr>
      </w:pPr>
      <w:r>
        <w:t xml:space="preserve">Ordinary Members — individuals admitted with full membership rights, including the right to vote and to be elected to office.</w:t>
      </w:r>
    </w:p>
    <w:p>
      <w:pPr>
        <w:pStyle w:val="Compact"/>
        <w:numPr>
          <w:ilvl w:val="0"/>
          <w:numId w:val="1004"/>
        </w:numPr>
      </w:pPr>
      <w:r>
        <w:t xml:space="preserve">Associate Members — organizations or institutions admitted to support the Organization, with observer status only.</w:t>
      </w:r>
    </w:p>
    <w:p>
      <w:pPr>
        <w:pStyle w:val="Compact"/>
        <w:numPr>
          <w:ilvl w:val="0"/>
          <w:numId w:val="1004"/>
        </w:numPr>
      </w:pPr>
      <w:r>
        <w:t xml:space="preserve">Honorary Members — distinguished individuals recognised by the General Assembly for outstanding contribution to the Organization.</w:t>
      </w:r>
    </w:p>
    <w:p>
      <w:pPr>
        <w:pStyle w:val="FirstParagraph"/>
      </w:pPr>
      <w:r>
        <w:t xml:space="preserve">8.3 An Ordinary Member must be in good standing with their membership fees, as set out in Article 11, by the mid-point of the financial year to retain full membership rights.</w:t>
      </w:r>
    </w:p>
    <w:p>
      <w:pPr>
        <w:pStyle w:val="BodyText"/>
      </w:pPr>
      <w:r>
        <w:t xml:space="preserve">8.4 Applications for membership shall be submitted in writing to the Secretary and shall be considered by the Executive Committee within thirty (30) days of receipt.</w:t>
      </w:r>
    </w:p>
    <w:bookmarkEnd w:id="30"/>
    <w:bookmarkStart w:id="31" w:name="article-9-rights-of-members"/>
    <w:p>
      <w:pPr>
        <w:pStyle w:val="Heading2"/>
      </w:pPr>
      <w:r>
        <w:t xml:space="preserve">Article 9: Rights of Members</w:t>
      </w:r>
    </w:p>
    <w:p>
      <w:pPr>
        <w:pStyle w:val="FirstParagraph"/>
      </w:pPr>
      <w:r>
        <w:t xml:space="preserve">All Ordinary Members shall have equal rights, including the right to:</w:t>
      </w:r>
    </w:p>
    <w:p>
      <w:pPr>
        <w:pStyle w:val="Compact"/>
        <w:numPr>
          <w:ilvl w:val="0"/>
          <w:numId w:val="1005"/>
        </w:numPr>
      </w:pPr>
      <w:r>
        <w:t xml:space="preserve">Attend and vote at General Meetings.</w:t>
      </w:r>
    </w:p>
    <w:p>
      <w:pPr>
        <w:pStyle w:val="Compact"/>
        <w:numPr>
          <w:ilvl w:val="0"/>
          <w:numId w:val="1005"/>
        </w:numPr>
      </w:pPr>
      <w:r>
        <w:t xml:space="preserve">Stand for election to any office in the Organization.</w:t>
      </w:r>
    </w:p>
    <w:p>
      <w:pPr>
        <w:pStyle w:val="Compact"/>
        <w:numPr>
          <w:ilvl w:val="0"/>
          <w:numId w:val="1005"/>
        </w:numPr>
      </w:pPr>
      <w:r>
        <w:t xml:space="preserve">Access the Organization’s records and financial reports on reasonable request.</w:t>
      </w:r>
    </w:p>
    <w:p>
      <w:pPr>
        <w:pStyle w:val="Compact"/>
        <w:numPr>
          <w:ilvl w:val="0"/>
          <w:numId w:val="1005"/>
        </w:numPr>
      </w:pPr>
      <w:r>
        <w:t xml:space="preserve">Participate in all programmes and activities of the Organization.</w:t>
      </w:r>
    </w:p>
    <w:p>
      <w:pPr>
        <w:pStyle w:val="Compact"/>
        <w:numPr>
          <w:ilvl w:val="0"/>
          <w:numId w:val="1005"/>
        </w:numPr>
      </w:pPr>
      <w:r>
        <w:t xml:space="preserve">Propose motions and amendments to this Constitution.</w:t>
      </w:r>
    </w:p>
    <w:bookmarkEnd w:id="31"/>
    <w:bookmarkStart w:id="32" w:name="article-10-obligations-of-members"/>
    <w:p>
      <w:pPr>
        <w:pStyle w:val="Heading2"/>
      </w:pPr>
      <w:r>
        <w:t xml:space="preserve">Article 10: Obligations of Members</w:t>
      </w:r>
    </w:p>
    <w:p>
      <w:pPr>
        <w:pStyle w:val="FirstParagraph"/>
      </w:pPr>
      <w:r>
        <w:t xml:space="preserve">Every member shall:</w:t>
      </w:r>
    </w:p>
    <w:p>
      <w:pPr>
        <w:pStyle w:val="Compact"/>
        <w:numPr>
          <w:ilvl w:val="0"/>
          <w:numId w:val="1006"/>
        </w:numPr>
      </w:pPr>
      <w:r>
        <w:t xml:space="preserve">Abide by this Constitution and all lawful decisions of the Organization.</w:t>
      </w:r>
    </w:p>
    <w:p>
      <w:pPr>
        <w:pStyle w:val="Compact"/>
        <w:numPr>
          <w:ilvl w:val="0"/>
          <w:numId w:val="1006"/>
        </w:numPr>
      </w:pPr>
      <w:r>
        <w:t xml:space="preserve">Pay any membership fees as may be set by the General Assembly.</w:t>
      </w:r>
    </w:p>
    <w:p>
      <w:pPr>
        <w:pStyle w:val="Compact"/>
        <w:numPr>
          <w:ilvl w:val="0"/>
          <w:numId w:val="1006"/>
        </w:numPr>
      </w:pPr>
      <w:r>
        <w:t xml:space="preserve">Attend and participate in meetings and activities of the Organization.</w:t>
      </w:r>
    </w:p>
    <w:p>
      <w:pPr>
        <w:pStyle w:val="Compact"/>
        <w:numPr>
          <w:ilvl w:val="0"/>
          <w:numId w:val="1006"/>
        </w:numPr>
      </w:pPr>
      <w:r>
        <w:t xml:space="preserve">Uphold the good name and integrity of the Organization.</w:t>
      </w:r>
    </w:p>
    <w:bookmarkEnd w:id="32"/>
    <w:bookmarkStart w:id="33" w:name="article-11-membership-fees"/>
    <w:p>
      <w:pPr>
        <w:pStyle w:val="Heading2"/>
      </w:pPr>
      <w:r>
        <w:t xml:space="preserve">Article 11: Membership Fees</w:t>
      </w:r>
    </w:p>
    <w:p>
      <w:pPr>
        <w:pStyle w:val="FirstParagraph"/>
      </w:pPr>
      <w:r>
        <w:t xml:space="preserve">11.1 The following fees shall apply:</w:t>
      </w:r>
    </w:p>
    <w:p>
      <w:pPr>
        <w:pStyle w:val="Compact"/>
        <w:numPr>
          <w:ilvl w:val="0"/>
          <w:numId w:val="1007"/>
        </w:numPr>
      </w:pPr>
      <w:r>
        <w:t xml:space="preserve">Registration fee (one-time, Ordinary Members): UGX 25,000</w:t>
      </w:r>
    </w:p>
    <w:p>
      <w:pPr>
        <w:pStyle w:val="Compact"/>
        <w:numPr>
          <w:ilvl w:val="0"/>
          <w:numId w:val="1007"/>
        </w:numPr>
      </w:pPr>
      <w:r>
        <w:t xml:space="preserve">Annual subscription (Ordinary Members): UGX 50,000</w:t>
      </w:r>
    </w:p>
    <w:p>
      <w:pPr>
        <w:pStyle w:val="Compact"/>
        <w:numPr>
          <w:ilvl w:val="0"/>
          <w:numId w:val="1007"/>
        </w:numPr>
      </w:pPr>
      <w:r>
        <w:t xml:space="preserve">Annual subscription (Associate Members): UGX 100,000</w:t>
      </w:r>
    </w:p>
    <w:p>
      <w:pPr>
        <w:pStyle w:val="Compact"/>
        <w:numPr>
          <w:ilvl w:val="0"/>
          <w:numId w:val="1007"/>
        </w:numPr>
      </w:pPr>
      <w:r>
        <w:t xml:space="preserve">Honorary Members shall be exempt from all fees.</w:t>
      </w:r>
    </w:p>
    <w:p>
      <w:pPr>
        <w:pStyle w:val="FirstParagraph"/>
      </w:pPr>
      <w:r>
        <w:t xml:space="preserve">11.2 Membership fees may be revised by the General Assembly by a two-thirds (2/3) majority.</w:t>
      </w:r>
    </w:p>
    <w:bookmarkEnd w:id="33"/>
    <w:bookmarkStart w:id="34" w:name="article-12-cessation-of-membership"/>
    <w:p>
      <w:pPr>
        <w:pStyle w:val="Heading2"/>
      </w:pPr>
      <w:r>
        <w:t xml:space="preserve">Article 12: Cessation of Membership</w:t>
      </w:r>
    </w:p>
    <w:p>
      <w:pPr>
        <w:pStyle w:val="FirstParagraph"/>
      </w:pPr>
      <w:r>
        <w:t xml:space="preserve">Membership shall cease upon:</w:t>
      </w:r>
    </w:p>
    <w:p>
      <w:pPr>
        <w:pStyle w:val="Compact"/>
        <w:numPr>
          <w:ilvl w:val="0"/>
          <w:numId w:val="1008"/>
        </w:numPr>
      </w:pPr>
      <w:r>
        <w:t xml:space="preserve">Voluntary written resignation submitted to the Secretary.</w:t>
      </w:r>
    </w:p>
    <w:p>
      <w:pPr>
        <w:pStyle w:val="Compact"/>
        <w:numPr>
          <w:ilvl w:val="0"/>
          <w:numId w:val="1008"/>
        </w:numPr>
      </w:pPr>
      <w:r>
        <w:t xml:space="preserve">Death or permanent incapacity.</w:t>
      </w:r>
    </w:p>
    <w:p>
      <w:pPr>
        <w:pStyle w:val="Compact"/>
        <w:numPr>
          <w:ilvl w:val="0"/>
          <w:numId w:val="1008"/>
        </w:numPr>
      </w:pPr>
      <w:r>
        <w:t xml:space="preserve">Expulsion by the General Assembly for misconduct, by a two-thirds (2/3) majority.</w:t>
      </w:r>
    </w:p>
    <w:p>
      <w:pPr>
        <w:pStyle w:val="Compact"/>
        <w:numPr>
          <w:ilvl w:val="0"/>
          <w:numId w:val="1008"/>
        </w:numPr>
      </w:pPr>
      <w:r>
        <w:t xml:space="preserve">Failure to pay subscription fees for two (2) consecutive years.</w:t>
      </w:r>
    </w:p>
    <w:bookmarkEnd w:id="34"/>
    <w:bookmarkEnd w:id="35"/>
    <w:bookmarkStart w:id="41" w:name="part-iv-leadership-structure"/>
    <w:p>
      <w:pPr>
        <w:pStyle w:val="Heading1"/>
      </w:pPr>
      <w:r>
        <w:t xml:space="preserve">PART IV — LEADERSHIP STRUCTURE</w:t>
      </w:r>
    </w:p>
    <w:bookmarkStart w:id="36" w:name="article-13-organs-of-the-organization"/>
    <w:p>
      <w:pPr>
        <w:pStyle w:val="Heading2"/>
      </w:pPr>
      <w:r>
        <w:t xml:space="preserve">Article 13: Organs of the Organization</w:t>
      </w:r>
    </w:p>
    <w:p>
      <w:pPr>
        <w:pStyle w:val="FirstParagraph"/>
      </w:pPr>
      <w:r>
        <w:t xml:space="preserve">The Organization shall have the following organs:</w:t>
      </w:r>
    </w:p>
    <w:p>
      <w:pPr>
        <w:pStyle w:val="Compact"/>
        <w:numPr>
          <w:ilvl w:val="0"/>
          <w:numId w:val="1009"/>
        </w:numPr>
      </w:pPr>
      <w:r>
        <w:t xml:space="preserve">The General Assembly — the supreme decision-making body.</w:t>
      </w:r>
    </w:p>
    <w:p>
      <w:pPr>
        <w:pStyle w:val="Compact"/>
        <w:numPr>
          <w:ilvl w:val="0"/>
          <w:numId w:val="1009"/>
        </w:numPr>
      </w:pPr>
      <w:r>
        <w:t xml:space="preserve">The Executive Committee — the executive and management body.</w:t>
      </w:r>
    </w:p>
    <w:p>
      <w:pPr>
        <w:pStyle w:val="Compact"/>
        <w:numPr>
          <w:ilvl w:val="0"/>
          <w:numId w:val="1009"/>
        </w:numPr>
      </w:pPr>
      <w:r>
        <w:t xml:space="preserve">Sub-committees as may be established from time to time by the Executive Committee.</w:t>
      </w:r>
    </w:p>
    <w:bookmarkEnd w:id="36"/>
    <w:bookmarkStart w:id="37" w:name="article-14-the-executive-committee"/>
    <w:p>
      <w:pPr>
        <w:pStyle w:val="Heading2"/>
      </w:pPr>
      <w:r>
        <w:t xml:space="preserve">Article 14: The Executive Committee</w:t>
      </w:r>
    </w:p>
    <w:p>
      <w:pPr>
        <w:pStyle w:val="FirstParagraph"/>
      </w:pPr>
      <w:r>
        <w:t xml:space="preserve">14.1 The Executive Committee shall consist of seven (7) elected members, namely:</w:t>
      </w:r>
    </w:p>
    <w:p>
      <w:pPr>
        <w:pStyle w:val="Compact"/>
        <w:numPr>
          <w:ilvl w:val="0"/>
          <w:numId w:val="1010"/>
        </w:numPr>
      </w:pPr>
      <w:r>
        <w:t xml:space="preserve">Chairperson</w:t>
      </w:r>
    </w:p>
    <w:p>
      <w:pPr>
        <w:pStyle w:val="Compact"/>
        <w:numPr>
          <w:ilvl w:val="0"/>
          <w:numId w:val="1010"/>
        </w:numPr>
      </w:pPr>
      <w:r>
        <w:t xml:space="preserve">Vice-Chairperson</w:t>
      </w:r>
    </w:p>
    <w:p>
      <w:pPr>
        <w:pStyle w:val="Compact"/>
        <w:numPr>
          <w:ilvl w:val="0"/>
          <w:numId w:val="1010"/>
        </w:numPr>
      </w:pPr>
      <w:r>
        <w:t xml:space="preserve">Secretary</w:t>
      </w:r>
    </w:p>
    <w:p>
      <w:pPr>
        <w:pStyle w:val="Compact"/>
        <w:numPr>
          <w:ilvl w:val="0"/>
          <w:numId w:val="1010"/>
        </w:numPr>
      </w:pPr>
      <w:r>
        <w:t xml:space="preserve">Treasurer</w:t>
      </w:r>
    </w:p>
    <w:p>
      <w:pPr>
        <w:pStyle w:val="Compact"/>
        <w:numPr>
          <w:ilvl w:val="0"/>
          <w:numId w:val="1010"/>
        </w:numPr>
      </w:pPr>
      <w:r>
        <w:t xml:space="preserve">Committee Member for Environment and Climate Action</w:t>
      </w:r>
    </w:p>
    <w:p>
      <w:pPr>
        <w:pStyle w:val="Compact"/>
        <w:numPr>
          <w:ilvl w:val="0"/>
          <w:numId w:val="1010"/>
        </w:numPr>
      </w:pPr>
      <w:r>
        <w:t xml:space="preserve">Committee Member for Health, Education and Community Development</w:t>
      </w:r>
    </w:p>
    <w:p>
      <w:pPr>
        <w:pStyle w:val="Compact"/>
        <w:numPr>
          <w:ilvl w:val="0"/>
          <w:numId w:val="1010"/>
        </w:numPr>
      </w:pPr>
      <w:r>
        <w:t xml:space="preserve">Committee Member for Livelihoods and Economic Empowerment</w:t>
      </w:r>
    </w:p>
    <w:p>
      <w:pPr>
        <w:pStyle w:val="FirstParagraph"/>
      </w:pPr>
      <w:r>
        <w:t xml:space="preserve">14.2 Members of the Executive Committee shall hold office for a term of three (3) years and may be re-elected for one additional consecutive term.</w:t>
      </w:r>
    </w:p>
    <w:p>
      <w:pPr>
        <w:pStyle w:val="BodyText"/>
      </w:pPr>
      <w:r>
        <w:t xml:space="preserve">14.3 The Executive Committee shall meet at least once every month. The quorum shall be five (5) members, including the Chairperson or Vice-Chairperson.</w:t>
      </w:r>
    </w:p>
    <w:p>
      <w:pPr>
        <w:pStyle w:val="BodyText"/>
      </w:pPr>
      <w:r>
        <w:t xml:space="preserve">14.4 All decisions of the Executive Committee shall be taken by simple majority. In case of a tie, the Chairperson shall have a casting vote.</w:t>
      </w:r>
    </w:p>
    <w:bookmarkEnd w:id="37"/>
    <w:bookmarkStart w:id="38" w:name="X509af662ea1a5385913da7b0f0463fb12169556"/>
    <w:p>
      <w:pPr>
        <w:pStyle w:val="Heading2"/>
      </w:pPr>
      <w:r>
        <w:t xml:space="preserve">Article 15: Roles of Executive Committee Members</w:t>
      </w:r>
    </w:p>
    <w:p>
      <w:pPr>
        <w:pStyle w:val="FirstParagraph"/>
      </w:pPr>
      <w:r>
        <w:rPr>
          <w:b/>
          <w:bCs/>
        </w:rPr>
        <w:t xml:space="preserve">15.1 The Chairperson shall:</w:t>
      </w:r>
    </w:p>
    <w:p>
      <w:pPr>
        <w:pStyle w:val="Compact"/>
        <w:numPr>
          <w:ilvl w:val="0"/>
          <w:numId w:val="1011"/>
        </w:numPr>
      </w:pPr>
      <w:r>
        <w:t xml:space="preserve">Provide overall leadership and direction to the Organization.</w:t>
      </w:r>
    </w:p>
    <w:p>
      <w:pPr>
        <w:pStyle w:val="Compact"/>
        <w:numPr>
          <w:ilvl w:val="0"/>
          <w:numId w:val="1011"/>
        </w:numPr>
      </w:pPr>
      <w:r>
        <w:t xml:space="preserve">Preside over all General and Executive Committee meetings.</w:t>
      </w:r>
    </w:p>
    <w:p>
      <w:pPr>
        <w:pStyle w:val="Compact"/>
        <w:numPr>
          <w:ilvl w:val="0"/>
          <w:numId w:val="1011"/>
        </w:numPr>
      </w:pPr>
      <w:r>
        <w:t xml:space="preserve">Represent the Organization in dealings with government, partners, and the public.</w:t>
      </w:r>
    </w:p>
    <w:p>
      <w:pPr>
        <w:pStyle w:val="Compact"/>
        <w:numPr>
          <w:ilvl w:val="0"/>
          <w:numId w:val="1011"/>
        </w:numPr>
      </w:pPr>
      <w:r>
        <w:t xml:space="preserve">Sign official documents and act as a principal signatory to the bank accounts.</w:t>
      </w:r>
    </w:p>
    <w:p>
      <w:pPr>
        <w:pStyle w:val="FirstParagraph"/>
      </w:pPr>
      <w:r>
        <w:rPr>
          <w:b/>
          <w:bCs/>
        </w:rPr>
        <w:t xml:space="preserve">15.2 The Vice-Chairperson shall:</w:t>
      </w:r>
    </w:p>
    <w:p>
      <w:pPr>
        <w:pStyle w:val="Compact"/>
        <w:numPr>
          <w:ilvl w:val="0"/>
          <w:numId w:val="1012"/>
        </w:numPr>
      </w:pPr>
      <w:r>
        <w:t xml:space="preserve">Assist the Chairperson and assume the duties of the Chairperson in his or her absence.</w:t>
      </w:r>
    </w:p>
    <w:p>
      <w:pPr>
        <w:pStyle w:val="Compact"/>
        <w:numPr>
          <w:ilvl w:val="0"/>
          <w:numId w:val="1012"/>
        </w:numPr>
      </w:pPr>
      <w:r>
        <w:t xml:space="preserve">Carry out any other duties assigned by the Executive Committee.</w:t>
      </w:r>
    </w:p>
    <w:p>
      <w:pPr>
        <w:pStyle w:val="FirstParagraph"/>
      </w:pPr>
      <w:r>
        <w:rPr>
          <w:b/>
          <w:bCs/>
        </w:rPr>
        <w:t xml:space="preserve">15.3 The Secretary shall:</w:t>
      </w:r>
    </w:p>
    <w:p>
      <w:pPr>
        <w:pStyle w:val="Compact"/>
        <w:numPr>
          <w:ilvl w:val="0"/>
          <w:numId w:val="1013"/>
        </w:numPr>
      </w:pPr>
      <w:r>
        <w:t xml:space="preserve">Keep all records, minutes, and correspondence of the Organization.</w:t>
      </w:r>
    </w:p>
    <w:p>
      <w:pPr>
        <w:pStyle w:val="Compact"/>
        <w:numPr>
          <w:ilvl w:val="0"/>
          <w:numId w:val="1013"/>
        </w:numPr>
      </w:pPr>
      <w:r>
        <w:t xml:space="preserve">Issue notices for all meetings of the Organization.</w:t>
      </w:r>
    </w:p>
    <w:p>
      <w:pPr>
        <w:pStyle w:val="Compact"/>
        <w:numPr>
          <w:ilvl w:val="0"/>
          <w:numId w:val="1013"/>
        </w:numPr>
      </w:pPr>
      <w:r>
        <w:t xml:space="preserve">Maintain the register of members.</w:t>
      </w:r>
    </w:p>
    <w:p>
      <w:pPr>
        <w:pStyle w:val="Compact"/>
        <w:numPr>
          <w:ilvl w:val="0"/>
          <w:numId w:val="1013"/>
        </w:numPr>
      </w:pPr>
      <w:r>
        <w:t xml:space="preserve">Prepare and submit reports to the relevant authorities.</w:t>
      </w:r>
    </w:p>
    <w:p>
      <w:pPr>
        <w:pStyle w:val="FirstParagraph"/>
      </w:pPr>
      <w:r>
        <w:rPr>
          <w:b/>
          <w:bCs/>
        </w:rPr>
        <w:t xml:space="preserve">15.4 The Treasurer shall:</w:t>
      </w:r>
    </w:p>
    <w:p>
      <w:pPr>
        <w:pStyle w:val="Compact"/>
        <w:numPr>
          <w:ilvl w:val="0"/>
          <w:numId w:val="1014"/>
        </w:numPr>
      </w:pPr>
      <w:r>
        <w:t xml:space="preserve">Receive, record, and safeguard all funds of the Organization.</w:t>
      </w:r>
    </w:p>
    <w:p>
      <w:pPr>
        <w:pStyle w:val="Compact"/>
        <w:numPr>
          <w:ilvl w:val="0"/>
          <w:numId w:val="1014"/>
        </w:numPr>
      </w:pPr>
      <w:r>
        <w:t xml:space="preserve">Prepare monthly, quarterly, and annual financial reports.</w:t>
      </w:r>
    </w:p>
    <w:p>
      <w:pPr>
        <w:pStyle w:val="Compact"/>
        <w:numPr>
          <w:ilvl w:val="0"/>
          <w:numId w:val="1014"/>
        </w:numPr>
      </w:pPr>
      <w:r>
        <w:t xml:space="preserve">Maintain proper books of accounts.</w:t>
      </w:r>
    </w:p>
    <w:p>
      <w:pPr>
        <w:pStyle w:val="Compact"/>
        <w:numPr>
          <w:ilvl w:val="0"/>
          <w:numId w:val="1014"/>
        </w:numPr>
      </w:pPr>
      <w:r>
        <w:t xml:space="preserve">Act as a principal signatory to the bank accounts.</w:t>
      </w:r>
    </w:p>
    <w:p>
      <w:pPr>
        <w:pStyle w:val="FirstParagraph"/>
      </w:pPr>
      <w:r>
        <w:rPr>
          <w:b/>
          <w:bCs/>
        </w:rPr>
        <w:t xml:space="preserve">15.5 Committee Members shall:</w:t>
      </w:r>
    </w:p>
    <w:p>
      <w:pPr>
        <w:pStyle w:val="Compact"/>
        <w:numPr>
          <w:ilvl w:val="0"/>
          <w:numId w:val="1015"/>
        </w:numPr>
      </w:pPr>
      <w:r>
        <w:t xml:space="preserve">Lead the planning and implementation of activities in their respective thematic areas.</w:t>
      </w:r>
    </w:p>
    <w:p>
      <w:pPr>
        <w:pStyle w:val="Compact"/>
        <w:numPr>
          <w:ilvl w:val="0"/>
          <w:numId w:val="1015"/>
        </w:numPr>
      </w:pPr>
      <w:r>
        <w:t xml:space="preserve">Submit regular reports to the Executive Committee.</w:t>
      </w:r>
    </w:p>
    <w:p>
      <w:pPr>
        <w:pStyle w:val="Compact"/>
        <w:numPr>
          <w:ilvl w:val="0"/>
          <w:numId w:val="1015"/>
        </w:numPr>
      </w:pPr>
      <w:r>
        <w:t xml:space="preserve">Perform any other duties as may be assigned by the Executive Committee.</w:t>
      </w:r>
    </w:p>
    <w:bookmarkEnd w:id="38"/>
    <w:bookmarkStart w:id="39" w:name="article-16-removal-from-office"/>
    <w:p>
      <w:pPr>
        <w:pStyle w:val="Heading2"/>
      </w:pPr>
      <w:r>
        <w:t xml:space="preserve">Article 16: Removal from Office</w:t>
      </w:r>
    </w:p>
    <w:p>
      <w:pPr>
        <w:pStyle w:val="FirstParagraph"/>
      </w:pPr>
      <w:r>
        <w:t xml:space="preserve">16.1 A member of the Executive Committee may be removed from office by the General Assembly for any of the following reasons:</w:t>
      </w:r>
    </w:p>
    <w:p>
      <w:pPr>
        <w:pStyle w:val="Compact"/>
        <w:numPr>
          <w:ilvl w:val="0"/>
          <w:numId w:val="1016"/>
        </w:numPr>
      </w:pPr>
      <w:r>
        <w:t xml:space="preserve">Gross misconduct or violation of this Constitution.</w:t>
      </w:r>
    </w:p>
    <w:p>
      <w:pPr>
        <w:pStyle w:val="Compact"/>
        <w:numPr>
          <w:ilvl w:val="0"/>
          <w:numId w:val="1016"/>
        </w:numPr>
      </w:pPr>
      <w:r>
        <w:t xml:space="preserve">Misappropriation of funds or property of the Organization.</w:t>
      </w:r>
    </w:p>
    <w:p>
      <w:pPr>
        <w:pStyle w:val="Compact"/>
        <w:numPr>
          <w:ilvl w:val="0"/>
          <w:numId w:val="1016"/>
        </w:numPr>
      </w:pPr>
      <w:r>
        <w:t xml:space="preserve">Persistent neglect of duty.</w:t>
      </w:r>
    </w:p>
    <w:p>
      <w:pPr>
        <w:pStyle w:val="Compact"/>
        <w:numPr>
          <w:ilvl w:val="0"/>
          <w:numId w:val="1016"/>
        </w:numPr>
      </w:pPr>
      <w:r>
        <w:t xml:space="preserve">Absence from three (3) consecutive Executive Committee meetings without justifiable reason.</w:t>
      </w:r>
    </w:p>
    <w:p>
      <w:pPr>
        <w:pStyle w:val="Compact"/>
        <w:numPr>
          <w:ilvl w:val="0"/>
          <w:numId w:val="1016"/>
        </w:numPr>
      </w:pPr>
      <w:r>
        <w:t xml:space="preserve">Conviction of a criminal offence.</w:t>
      </w:r>
    </w:p>
    <w:p>
      <w:pPr>
        <w:pStyle w:val="FirstParagraph"/>
      </w:pPr>
      <w:r>
        <w:t xml:space="preserve">16.2 The member concerned shall be given written notice of the allegations at least twenty-one (21) days before the meeting at which removal is to be considered, and shall have the right to be heard. Removal shall require a two-thirds (2/3) majority of members present and voting.</w:t>
      </w:r>
    </w:p>
    <w:bookmarkEnd w:id="39"/>
    <w:bookmarkStart w:id="40" w:name="article-17-filling-of-vacancies"/>
    <w:p>
      <w:pPr>
        <w:pStyle w:val="Heading2"/>
      </w:pPr>
      <w:r>
        <w:t xml:space="preserve">Article 17: Filling of Vacancies</w:t>
      </w:r>
    </w:p>
    <w:p>
      <w:pPr>
        <w:pStyle w:val="FirstParagraph"/>
      </w:pPr>
      <w:r>
        <w:t xml:space="preserve">Where a vacancy arises in the Executive Committee, the General Assembly shall elect a replacement within sixty (60) days, who shall serve for the remaining term.</w:t>
      </w:r>
    </w:p>
    <w:bookmarkEnd w:id="40"/>
    <w:bookmarkEnd w:id="41"/>
    <w:bookmarkStart w:id="46" w:name="part-v-meetings-and-quorum"/>
    <w:p>
      <w:pPr>
        <w:pStyle w:val="Heading1"/>
      </w:pPr>
      <w:r>
        <w:t xml:space="preserve">PART V — MEETINGS AND QUORUM</w:t>
      </w:r>
    </w:p>
    <w:bookmarkStart w:id="42" w:name="article-18-the-general-assembly"/>
    <w:p>
      <w:pPr>
        <w:pStyle w:val="Heading2"/>
      </w:pPr>
      <w:r>
        <w:t xml:space="preserve">Article 18: The General Assembly</w:t>
      </w:r>
    </w:p>
    <w:p>
      <w:pPr>
        <w:pStyle w:val="FirstParagraph"/>
      </w:pPr>
      <w:r>
        <w:t xml:space="preserve">18.1 The General Assembly, comprising all Ordinary Members in good standing, shall be the supreme decision-making body of the Organization. Its powers include:</w:t>
      </w:r>
    </w:p>
    <w:p>
      <w:pPr>
        <w:pStyle w:val="Compact"/>
        <w:numPr>
          <w:ilvl w:val="0"/>
          <w:numId w:val="1017"/>
        </w:numPr>
      </w:pPr>
      <w:r>
        <w:t xml:space="preserve">Adopting and amending this Constitution.</w:t>
      </w:r>
    </w:p>
    <w:p>
      <w:pPr>
        <w:pStyle w:val="Compact"/>
        <w:numPr>
          <w:ilvl w:val="0"/>
          <w:numId w:val="1017"/>
        </w:numPr>
      </w:pPr>
      <w:r>
        <w:t xml:space="preserve">Electing and removing members of the Executive Committee.</w:t>
      </w:r>
    </w:p>
    <w:p>
      <w:pPr>
        <w:pStyle w:val="Compact"/>
        <w:numPr>
          <w:ilvl w:val="0"/>
          <w:numId w:val="1017"/>
        </w:numPr>
      </w:pPr>
      <w:r>
        <w:t xml:space="preserve">Approving annual reports, financial statements, and budgets.</w:t>
      </w:r>
    </w:p>
    <w:p>
      <w:pPr>
        <w:pStyle w:val="Compact"/>
        <w:numPr>
          <w:ilvl w:val="0"/>
          <w:numId w:val="1017"/>
        </w:numPr>
      </w:pPr>
      <w:r>
        <w:t xml:space="preserve">Approving the dissolution of the Organization.</w:t>
      </w:r>
    </w:p>
    <w:bookmarkEnd w:id="42"/>
    <w:bookmarkStart w:id="43" w:name="article-19-annual-general-meeting"/>
    <w:p>
      <w:pPr>
        <w:pStyle w:val="Heading2"/>
      </w:pPr>
      <w:r>
        <w:t xml:space="preserve">Article 19: Annual General Meeting</w:t>
      </w:r>
    </w:p>
    <w:p>
      <w:pPr>
        <w:pStyle w:val="FirstParagraph"/>
      </w:pPr>
      <w:r>
        <w:t xml:space="preserve">19.1 The Annual General Meeting (AGM) shall be held once every year.</w:t>
      </w:r>
    </w:p>
    <w:p>
      <w:pPr>
        <w:pStyle w:val="BodyText"/>
      </w:pPr>
      <w:r>
        <w:t xml:space="preserve">19.2 Written notice of the AGM, together with the agenda, shall be given to all members at least twenty-one (21) days before the meeting.</w:t>
      </w:r>
    </w:p>
    <w:p>
      <w:pPr>
        <w:pStyle w:val="BodyText"/>
      </w:pPr>
      <w:r>
        <w:t xml:space="preserve">19.3 The quorum for the AGM shall be one-third (1/3) of all Ordinary Members in good standing.</w:t>
      </w:r>
    </w:p>
    <w:bookmarkEnd w:id="43"/>
    <w:bookmarkStart w:id="44" w:name="article-20-special-general-meeting"/>
    <w:p>
      <w:pPr>
        <w:pStyle w:val="Heading2"/>
      </w:pPr>
      <w:r>
        <w:t xml:space="preserve">Article 20: Special General Meeting</w:t>
      </w:r>
    </w:p>
    <w:p>
      <w:pPr>
        <w:pStyle w:val="FirstParagraph"/>
      </w:pPr>
      <w:r>
        <w:t xml:space="preserve">20.1 A Special General Meeting may be convened by the Executive Committee, or upon written request by at least one-third (1/3) of Ordinary Members.</w:t>
      </w:r>
    </w:p>
    <w:p>
      <w:pPr>
        <w:pStyle w:val="BodyText"/>
      </w:pPr>
      <w:r>
        <w:t xml:space="preserve">20.2 At least fourteen (14) days’ written notice shall be given for a Special General Meeting.</w:t>
      </w:r>
    </w:p>
    <w:p>
      <w:pPr>
        <w:pStyle w:val="BodyText"/>
      </w:pPr>
      <w:r>
        <w:t xml:space="preserve">20.3 Only items listed on the agenda shall be discussed at a Special General Meeting.</w:t>
      </w:r>
    </w:p>
    <w:bookmarkEnd w:id="44"/>
    <w:bookmarkStart w:id="45" w:name="article-21-voting"/>
    <w:p>
      <w:pPr>
        <w:pStyle w:val="Heading2"/>
      </w:pPr>
      <w:r>
        <w:t xml:space="preserve">Article 21: Voting</w:t>
      </w:r>
    </w:p>
    <w:p>
      <w:pPr>
        <w:pStyle w:val="FirstParagraph"/>
      </w:pPr>
      <w:r>
        <w:t xml:space="preserve">21.1 Each Ordinary Member shall have one (1) vote.</w:t>
      </w:r>
    </w:p>
    <w:p>
      <w:pPr>
        <w:pStyle w:val="BodyText"/>
      </w:pPr>
      <w:r>
        <w:t xml:space="preserve">21.2 Voting shall normally be by show of hands, except where the meeting resolves to vote by secret ballot.</w:t>
      </w:r>
    </w:p>
    <w:p>
      <w:pPr>
        <w:pStyle w:val="BodyText"/>
      </w:pPr>
      <w:r>
        <w:t xml:space="preserve">21.3 Unless otherwise stated in this Constitution, all decisions shall be by simple majority of members present and voting.</w:t>
      </w:r>
    </w:p>
    <w:bookmarkEnd w:id="45"/>
    <w:bookmarkEnd w:id="46"/>
    <w:bookmarkStart w:id="52" w:name="part-vi-financial-accountability"/>
    <w:p>
      <w:pPr>
        <w:pStyle w:val="Heading1"/>
      </w:pPr>
      <w:r>
        <w:t xml:space="preserve">PART VI — FINANCIAL ACCOUNTABILITY</w:t>
      </w:r>
    </w:p>
    <w:bookmarkStart w:id="47" w:name="article-22-financial-year"/>
    <w:p>
      <w:pPr>
        <w:pStyle w:val="Heading2"/>
      </w:pPr>
      <w:r>
        <w:t xml:space="preserve">Article 22: Financial Year</w:t>
      </w:r>
    </w:p>
    <w:p>
      <w:pPr>
        <w:pStyle w:val="FirstParagraph"/>
      </w:pPr>
      <w:r>
        <w:t xml:space="preserve">The financial year of the Organization shall run from 1st January to 31st December of each calendar year.</w:t>
      </w:r>
    </w:p>
    <w:bookmarkEnd w:id="47"/>
    <w:bookmarkStart w:id="48" w:name="article-23-sources-of-funds"/>
    <w:p>
      <w:pPr>
        <w:pStyle w:val="Heading2"/>
      </w:pPr>
      <w:r>
        <w:t xml:space="preserve">Article 23: Sources of Funds</w:t>
      </w:r>
    </w:p>
    <w:p>
      <w:pPr>
        <w:pStyle w:val="FirstParagraph"/>
      </w:pPr>
      <w:r>
        <w:t xml:space="preserve">The Organization shall raise funds from the following sources:</w:t>
      </w:r>
    </w:p>
    <w:p>
      <w:pPr>
        <w:pStyle w:val="Compact"/>
        <w:numPr>
          <w:ilvl w:val="0"/>
          <w:numId w:val="1018"/>
        </w:numPr>
      </w:pPr>
      <w:r>
        <w:t xml:space="preserve">Membership registration and annual subscription fees.</w:t>
      </w:r>
    </w:p>
    <w:p>
      <w:pPr>
        <w:pStyle w:val="Compact"/>
        <w:numPr>
          <w:ilvl w:val="0"/>
          <w:numId w:val="1018"/>
        </w:numPr>
      </w:pPr>
      <w:r>
        <w:t xml:space="preserve">Grants and donations from individuals, organisations, foundations, and government agencies.</w:t>
      </w:r>
    </w:p>
    <w:p>
      <w:pPr>
        <w:pStyle w:val="Compact"/>
        <w:numPr>
          <w:ilvl w:val="0"/>
          <w:numId w:val="1018"/>
        </w:numPr>
      </w:pPr>
      <w:r>
        <w:t xml:space="preserve">Fundraising activities.</w:t>
      </w:r>
    </w:p>
    <w:p>
      <w:pPr>
        <w:pStyle w:val="Compact"/>
        <w:numPr>
          <w:ilvl w:val="0"/>
          <w:numId w:val="1018"/>
        </w:numPr>
      </w:pPr>
      <w:r>
        <w:t xml:space="preserve">Income generated from approved group income-generating projects.</w:t>
      </w:r>
    </w:p>
    <w:p>
      <w:pPr>
        <w:pStyle w:val="Compact"/>
        <w:numPr>
          <w:ilvl w:val="0"/>
          <w:numId w:val="1018"/>
        </w:numPr>
      </w:pPr>
      <w:r>
        <w:t xml:space="preserve">Any other lawful sources approved by the Executive Committee.</w:t>
      </w:r>
    </w:p>
    <w:bookmarkEnd w:id="48"/>
    <w:bookmarkStart w:id="49" w:name="article-24-bank-accounts"/>
    <w:p>
      <w:pPr>
        <w:pStyle w:val="Heading2"/>
      </w:pPr>
      <w:r>
        <w:t xml:space="preserve">Article 24: Bank Accounts</w:t>
      </w:r>
    </w:p>
    <w:p>
      <w:pPr>
        <w:pStyle w:val="FirstParagraph"/>
      </w:pPr>
      <w:r>
        <w:t xml:space="preserve">24.1 The Organization shall maintain bank accounts in its own name at a reputable financial institution licensed in Uganda.</w:t>
      </w:r>
    </w:p>
    <w:p>
      <w:pPr>
        <w:pStyle w:val="BodyText"/>
      </w:pPr>
      <w:r>
        <w:t xml:space="preserve">24.2 All withdrawals shall require the signatures of any two (2) of the following officials: the Chairperson, the Treasurer, and the Secretary.</w:t>
      </w:r>
    </w:p>
    <w:p>
      <w:pPr>
        <w:pStyle w:val="BodyText"/>
      </w:pPr>
      <w:r>
        <w:t xml:space="preserve">24.3 No personal accounts shall be used to hold funds of the Organization.</w:t>
      </w:r>
    </w:p>
    <w:bookmarkEnd w:id="49"/>
    <w:bookmarkStart w:id="50" w:name="article-25-use-of-funds"/>
    <w:p>
      <w:pPr>
        <w:pStyle w:val="Heading2"/>
      </w:pPr>
      <w:r>
        <w:t xml:space="preserve">Article 25: Use of Funds</w:t>
      </w:r>
    </w:p>
    <w:p>
      <w:pPr>
        <w:pStyle w:val="FirstParagraph"/>
      </w:pPr>
      <w:r>
        <w:t xml:space="preserve">25.1 All funds and property of the Organization shall be used solely for the furtherance of the objectives of the Organization.</w:t>
      </w:r>
    </w:p>
    <w:p>
      <w:pPr>
        <w:pStyle w:val="BodyText"/>
      </w:pPr>
      <w:r>
        <w:t xml:space="preserve">25.2 No income, surplus, or asset of the Organization shall be distributed, directly or indirectly, to any member, official, or private individual, except as payment for services rendered at reasonable rates approved by the Executive Committee.</w:t>
      </w:r>
    </w:p>
    <w:bookmarkEnd w:id="50"/>
    <w:bookmarkStart w:id="51" w:name="article-26-financial-records-and-audit"/>
    <w:p>
      <w:pPr>
        <w:pStyle w:val="Heading2"/>
      </w:pPr>
      <w:r>
        <w:t xml:space="preserve">Article 26: Financial Records and Audit</w:t>
      </w:r>
    </w:p>
    <w:p>
      <w:pPr>
        <w:pStyle w:val="FirstParagraph"/>
      </w:pPr>
      <w:r>
        <w:t xml:space="preserve">26.1 The Treasurer shall maintain proper books of accounts and shall prepare annual financial statements within sixty (60) days after the end of the financial year.</w:t>
      </w:r>
    </w:p>
    <w:p>
      <w:pPr>
        <w:pStyle w:val="BodyText"/>
      </w:pPr>
      <w:r>
        <w:t xml:space="preserve">26.2 The accounts of the Organization shall be audited annually by an independent auditor appointed by the General Assembly.</w:t>
      </w:r>
    </w:p>
    <w:p>
      <w:pPr>
        <w:pStyle w:val="BodyText"/>
      </w:pPr>
      <w:r>
        <w:t xml:space="preserve">26.3 Audited accounts and the auditor’s report shall be presented to the General Assembly at the AGM.</w:t>
      </w:r>
    </w:p>
    <w:p>
      <w:pPr>
        <w:pStyle w:val="BodyText"/>
      </w:pPr>
      <w:r>
        <w:t xml:space="preserve">26.4 Financial records shall be kept for a minimum period of seven (7) years and shall be made available to the relevant authorities on request.</w:t>
      </w:r>
    </w:p>
    <w:bookmarkEnd w:id="51"/>
    <w:bookmarkEnd w:id="52"/>
    <w:bookmarkStart w:id="55" w:name="Xf26bbd0a62a115bb59213003de47aba317205ee"/>
    <w:p>
      <w:pPr>
        <w:pStyle w:val="Heading1"/>
      </w:pPr>
      <w:r>
        <w:t xml:space="preserve">PART VII — CONFLICT OF INTEREST AND DISPUTE RESOLUTION</w:t>
      </w:r>
    </w:p>
    <w:bookmarkStart w:id="53" w:name="article-27-conflict-of-interest"/>
    <w:p>
      <w:pPr>
        <w:pStyle w:val="Heading2"/>
      </w:pPr>
      <w:r>
        <w:t xml:space="preserve">Article 27: Conflict of Interest</w:t>
      </w:r>
    </w:p>
    <w:p>
      <w:pPr>
        <w:pStyle w:val="FirstParagraph"/>
      </w:pPr>
      <w:r>
        <w:t xml:space="preserve">27.1 Any member of the Executive Committee who has a personal or financial interest in a matter before the Organization shall declare such interest and shall not take part in the discussion or decision on that matter.</w:t>
      </w:r>
    </w:p>
    <w:p>
      <w:pPr>
        <w:pStyle w:val="BodyText"/>
      </w:pPr>
      <w:r>
        <w:t xml:space="preserve">27.2 All such declarations shall be recorded in the minutes of the meeting.</w:t>
      </w:r>
    </w:p>
    <w:bookmarkEnd w:id="53"/>
    <w:bookmarkStart w:id="54" w:name="article-28-dispute-resolution"/>
    <w:p>
      <w:pPr>
        <w:pStyle w:val="Heading2"/>
      </w:pPr>
      <w:r>
        <w:t xml:space="preserve">Article 28: Dispute Resolution</w:t>
      </w:r>
    </w:p>
    <w:p>
      <w:pPr>
        <w:pStyle w:val="FirstParagraph"/>
      </w:pPr>
      <w:r>
        <w:t xml:space="preserve">28.1 Any dispute between members, or between members and the Organization, shall first be referred to the Executive Committee for resolution through dialogue and mediation.</w:t>
      </w:r>
    </w:p>
    <w:p>
      <w:pPr>
        <w:pStyle w:val="BodyText"/>
      </w:pPr>
      <w:r>
        <w:t xml:space="preserve">28.2 If the dispute is not resolved by the Executive Committee, it shall be referred to the General Assembly, whose decision shall be final, subject to the right of any party to seek redress in a court of law.</w:t>
      </w:r>
    </w:p>
    <w:bookmarkEnd w:id="54"/>
    <w:bookmarkEnd w:id="55"/>
    <w:bookmarkStart w:id="57" w:name="part-viii-amendments"/>
    <w:p>
      <w:pPr>
        <w:pStyle w:val="Heading1"/>
      </w:pPr>
      <w:r>
        <w:t xml:space="preserve">PART VIII — AMENDMENTS</w:t>
      </w:r>
    </w:p>
    <w:bookmarkStart w:id="56" w:name="article-29-amendment-of-the-constitution"/>
    <w:p>
      <w:pPr>
        <w:pStyle w:val="Heading2"/>
      </w:pPr>
      <w:r>
        <w:t xml:space="preserve">Article 29: Amendment of the Constitution</w:t>
      </w:r>
    </w:p>
    <w:p>
      <w:pPr>
        <w:pStyle w:val="FirstParagraph"/>
      </w:pPr>
      <w:r>
        <w:t xml:space="preserve">29.1 This Constitution may be amended only at the AGM or a Special General Meeting convened for that purpose.</w:t>
      </w:r>
    </w:p>
    <w:p>
      <w:pPr>
        <w:pStyle w:val="BodyText"/>
      </w:pPr>
      <w:r>
        <w:t xml:space="preserve">29.2 Proposed amendments shall be submitted in writing to the Secretary at least thirty (30) days before the meeting and shall be circulated to all members together with the notice of the meeting.</w:t>
      </w:r>
    </w:p>
    <w:p>
      <w:pPr>
        <w:pStyle w:val="BodyText"/>
      </w:pPr>
      <w:r>
        <w:t xml:space="preserve">29.3 Amendments shall require approval by at least two-thirds (2/3) of Ordinary Members present and voting.</w:t>
      </w:r>
    </w:p>
    <w:p>
      <w:pPr>
        <w:pStyle w:val="BodyText"/>
      </w:pPr>
      <w:r>
        <w:t xml:space="preserve">29.4 The following provisions shall not be amended in any manner that would:</w:t>
      </w:r>
    </w:p>
    <w:p>
      <w:pPr>
        <w:pStyle w:val="Compact"/>
        <w:numPr>
          <w:ilvl w:val="0"/>
          <w:numId w:val="1019"/>
        </w:numPr>
      </w:pPr>
      <w:r>
        <w:t xml:space="preserve">Change the non-profit nature of the Organization.</w:t>
      </w:r>
    </w:p>
    <w:p>
      <w:pPr>
        <w:pStyle w:val="Compact"/>
        <w:numPr>
          <w:ilvl w:val="0"/>
          <w:numId w:val="1019"/>
        </w:numPr>
      </w:pPr>
      <w:r>
        <w:t xml:space="preserve">Permit distribution of profits or assets to members or private individuals.</w:t>
      </w:r>
    </w:p>
    <w:p>
      <w:pPr>
        <w:pStyle w:val="Compact"/>
        <w:numPr>
          <w:ilvl w:val="0"/>
          <w:numId w:val="1019"/>
        </w:numPr>
      </w:pPr>
      <w:r>
        <w:t xml:space="preserve">Allow the Organization to engage in partisan politics.</w:t>
      </w:r>
    </w:p>
    <w:p>
      <w:pPr>
        <w:pStyle w:val="FirstParagraph"/>
      </w:pPr>
      <w:r>
        <w:t xml:space="preserve">29.5 Any amendment adopted shall be communicated to the KCCA Community Development Office and any other relevant authority within thirty (30) days of adoption.</w:t>
      </w:r>
    </w:p>
    <w:bookmarkEnd w:id="56"/>
    <w:bookmarkEnd w:id="57"/>
    <w:bookmarkStart w:id="59" w:name="part-ix-dissolution"/>
    <w:p>
      <w:pPr>
        <w:pStyle w:val="Heading1"/>
      </w:pPr>
      <w:r>
        <w:t xml:space="preserve">PART IX — DISSOLUTION</w:t>
      </w:r>
    </w:p>
    <w:bookmarkStart w:id="58" w:name="X4db543379fb3d2d2e92f480897e124d64ed0d01"/>
    <w:p>
      <w:pPr>
        <w:pStyle w:val="Heading2"/>
      </w:pPr>
      <w:r>
        <w:t xml:space="preserve">Article 30: Dissolution of the Organization</w:t>
      </w:r>
    </w:p>
    <w:p>
      <w:pPr>
        <w:pStyle w:val="FirstParagraph"/>
      </w:pPr>
      <w:r>
        <w:t xml:space="preserve">30.1 The Organization may be dissolved by a resolution of the General Assembly passed by a three-quarters (3/4) majority of Ordinary Members present and voting at a meeting specifically convened for that purpose.</w:t>
      </w:r>
    </w:p>
    <w:p>
      <w:pPr>
        <w:pStyle w:val="BodyText"/>
      </w:pPr>
      <w:r>
        <w:t xml:space="preserve">30.2 Written notice of the proposed dissolution shall be given to all members and to the registering authority at least forty-five (45) days before the meeting.</w:t>
      </w:r>
    </w:p>
    <w:p>
      <w:pPr>
        <w:pStyle w:val="BodyText"/>
      </w:pPr>
      <w:r>
        <w:t xml:space="preserve">30.3 Upon dissolution, the General Assembly shall appoint at least two (2) members to act as liquidators, who shall:</w:t>
      </w:r>
    </w:p>
    <w:p>
      <w:pPr>
        <w:pStyle w:val="Compact"/>
        <w:numPr>
          <w:ilvl w:val="0"/>
          <w:numId w:val="1020"/>
        </w:numPr>
      </w:pPr>
      <w:r>
        <w:t xml:space="preserve">Take custody of all assets and records of the Organization.</w:t>
      </w:r>
    </w:p>
    <w:p>
      <w:pPr>
        <w:pStyle w:val="Compact"/>
        <w:numPr>
          <w:ilvl w:val="0"/>
          <w:numId w:val="1020"/>
        </w:numPr>
      </w:pPr>
      <w:r>
        <w:t xml:space="preserve">Settle all outstanding debts and liabilities.</w:t>
      </w:r>
    </w:p>
    <w:p>
      <w:pPr>
        <w:pStyle w:val="Compact"/>
        <w:numPr>
          <w:ilvl w:val="0"/>
          <w:numId w:val="1020"/>
        </w:numPr>
      </w:pPr>
      <w:r>
        <w:t xml:space="preserve">Prepare a final statement of accounts.</w:t>
      </w:r>
    </w:p>
    <w:p>
      <w:pPr>
        <w:pStyle w:val="FirstParagraph"/>
      </w:pPr>
      <w:r>
        <w:t xml:space="preserve">30.4 After settlement of all debts and liabilities, any remaining assets shall NOT be distributed to members or any private individual. Such assets shall be transferred to another Community-Based Organization or non-profit organization in Uganda with similar objectives, as determined by the General Assembly.</w:t>
      </w:r>
    </w:p>
    <w:p>
      <w:pPr>
        <w:pStyle w:val="BodyText"/>
      </w:pPr>
      <w:r>
        <w:t xml:space="preserve">30.5 Notice of dissolution shall be communicated to the KCCA Community Development Office and any other relevant authorities.</w:t>
      </w:r>
    </w:p>
    <w:bookmarkEnd w:id="58"/>
    <w:bookmarkEnd w:id="59"/>
    <w:bookmarkStart w:id="63" w:name="part-x-general-provisions"/>
    <w:p>
      <w:pPr>
        <w:pStyle w:val="Heading1"/>
      </w:pPr>
      <w:r>
        <w:t xml:space="preserve">PART X — GENERAL PROVISIONS</w:t>
      </w:r>
    </w:p>
    <w:bookmarkStart w:id="60" w:name="article-31-common-seal"/>
    <w:p>
      <w:pPr>
        <w:pStyle w:val="Heading2"/>
      </w:pPr>
      <w:r>
        <w:t xml:space="preserve">Article 31: Common Seal</w:t>
      </w:r>
    </w:p>
    <w:p>
      <w:pPr>
        <w:pStyle w:val="FirstParagraph"/>
      </w:pPr>
      <w:r>
        <w:t xml:space="preserve">The Organization shall have a common seal which shall be kept by the Secretary and used only with the authority of the Executive Committee.</w:t>
      </w:r>
    </w:p>
    <w:bookmarkEnd w:id="60"/>
    <w:bookmarkStart w:id="61" w:name="article-32-commencement"/>
    <w:p>
      <w:pPr>
        <w:pStyle w:val="Heading2"/>
      </w:pPr>
      <w:r>
        <w:t xml:space="preserve">Article 32: Commencement</w:t>
      </w:r>
    </w:p>
    <w:p>
      <w:pPr>
        <w:pStyle w:val="FirstParagraph"/>
      </w:pPr>
      <w:r>
        <w:t xml:space="preserve">This Constitution shall come into force on the date of its adoption by the founding members of the Organization.</w:t>
      </w:r>
    </w:p>
    <w:bookmarkEnd w:id="61"/>
    <w:bookmarkStart w:id="62" w:name="article-33-interpretation"/>
    <w:p>
      <w:pPr>
        <w:pStyle w:val="Heading2"/>
      </w:pPr>
      <w:r>
        <w:t xml:space="preserve">Article 33: Interpretation</w:t>
      </w:r>
    </w:p>
    <w:p>
      <w:pPr>
        <w:pStyle w:val="FirstParagraph"/>
      </w:pPr>
      <w:r>
        <w:t xml:space="preserve">In case of any dispute on the interpretation of this Constitution, the decision of the General Assembly shall be final, subject to the laws of Uganda.</w:t>
      </w:r>
    </w:p>
    <w:bookmarkEnd w:id="62"/>
    <w:bookmarkEnd w:id="63"/>
    <w:bookmarkStart w:id="65" w:name="adoption-by-founding-members"/>
    <w:p>
      <w:pPr>
        <w:pStyle w:val="Heading1"/>
      </w:pPr>
      <w:r>
        <w:t xml:space="preserve">ADOPTION BY FOUNDING MEMBERS</w:t>
      </w:r>
    </w:p>
    <w:p>
      <w:pPr>
        <w:pStyle w:val="FirstParagraph"/>
      </w:pPr>
      <w:r>
        <w:t xml:space="preserve">We, the undersigned founding members of ECO-BRIDGE KAWEMPE, do hereby adopt this Constitution as the supreme governing instrument of the Organization, and commit ourselves to abide by all its provisions.</w:t>
      </w:r>
    </w:p>
    <w:p>
      <w:pPr>
        <w:pStyle w:val="BodyText"/>
      </w:pPr>
      <w:r>
        <w:t xml:space="preserve">Adopted on: ________________________________</w:t>
      </w:r>
      <w:r>
        <w:t xml:space="preserve"> </w:t>
      </w:r>
      <w:r>
        <w:t xml:space="preserve">Year: 2026</w:t>
      </w:r>
    </w:p>
    <w:p>
      <w:pPr>
        <w:pStyle w:val="BodyText"/>
      </w:pPr>
      <w:r>
        <w:t xml:space="preserve">Place of adoption: ________________________________</w:t>
      </w:r>
      <w:r>
        <w:t xml:space="preserve"> </w:t>
      </w:r>
      <w:r>
        <w:t xml:space="preserve">Kampala, Uganda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w:t>
            </w:r>
          </w:p>
        </w:tc>
        <w:tc>
          <w:tcPr/>
          <w:p>
            <w:pPr>
              <w:pStyle w:val="Compact"/>
            </w:pPr>
            <w:r>
              <w:t xml:space="preserve">Full Name</w:t>
            </w:r>
          </w:p>
        </w:tc>
        <w:tc>
          <w:tcPr/>
          <w:p>
            <w:pPr>
              <w:pStyle w:val="Compact"/>
            </w:pPr>
            <w:r>
              <w:t xml:space="preserve">National ID No.</w:t>
            </w:r>
          </w:p>
        </w:tc>
        <w:tc>
          <w:tcPr/>
          <w:p>
            <w:pPr>
              <w:pStyle w:val="Compact"/>
            </w:pPr>
            <w:r>
              <w:t xml:space="preserve">Signature</w:t>
            </w:r>
          </w:p>
        </w:tc>
        <w:tc>
          <w:tcPr/>
          <w:p>
            <w:pPr>
              <w:pStyle w:val="Compact"/>
            </w:pPr>
            <w:r>
              <w:t xml:space="preserve">Date</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p>
        </w:tc>
        <w:tc>
          <w:tcPr/>
          <w:p>
            <w:pPr>
              <w:pStyle w:val="Compact"/>
            </w:pPr>
          </w:p>
        </w:tc>
        <w:tc>
          <w:tcPr/>
          <w:p>
            <w:pPr>
              <w:pStyle w:val="Compact"/>
            </w:pPr>
          </w:p>
        </w:tc>
      </w:tr>
    </w:tbl>
    <w:bookmarkStart w:id="64" w:name="certification-by-officials"/>
    <w:p>
      <w:pPr>
        <w:pStyle w:val="Heading2"/>
      </w:pPr>
      <w:r>
        <w:t xml:space="preserve">CERTIFICATION BY OFFICIALS</w:t>
      </w:r>
    </w:p>
    <w:p>
      <w:pPr>
        <w:pStyle w:val="FirstParagraph"/>
      </w:pPr>
      <w:r>
        <w:t xml:space="preserve">We, the undersigned officials of ECO-BRIDGE KAWEMPE, certify that this Constitution was duly adopted on the date stated above and is the operative Constitution of the Organization.</w:t>
      </w:r>
    </w:p>
    <w:p>
      <w:pPr>
        <w:pStyle w:val="BodyText"/>
      </w:pPr>
      <w:r>
        <w:t xml:space="preserve">Chairperson Name: ________________________________</w:t>
      </w:r>
      <w:r>
        <w:t xml:space="preserve"> </w:t>
      </w:r>
      <w:r>
        <w:t xml:space="preserve">Signature: ________________________________</w:t>
      </w:r>
      <w:r>
        <w:t xml:space="preserve"> </w:t>
      </w:r>
      <w:r>
        <w:t xml:space="preserve">Date: ________________________________</w:t>
      </w:r>
    </w:p>
    <w:p>
      <w:pPr>
        <w:pStyle w:val="BodyText"/>
      </w:pPr>
      <w:r>
        <w:t xml:space="preserve">Secretary Name: ________________________________</w:t>
      </w:r>
      <w:r>
        <w:t xml:space="preserve"> </w:t>
      </w:r>
      <w:r>
        <w:t xml:space="preserve">Signature: ________________________________</w:t>
      </w:r>
      <w:r>
        <w:t xml:space="preserve"> </w:t>
      </w:r>
      <w:r>
        <w:t xml:space="preserve">Date: ________________________________</w:t>
      </w:r>
    </w:p>
    <w:bookmarkEnd w:id="64"/>
    <w:bookmarkEnd w:id="65"/>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200" w:line="276"/>
      </w:pPr>
    </w:pPrDefault>
  </w:docDefaults>
  <w:style w:styleId="Title" w:type="paragraph">
    <w:name w:val="Title"/>
    <w:basedOn w:val="Normal"/>
    <w:next w:val="Normal"/>
    <w:qFormat/>
    <w:pPr>
      <w:spacing w:after="240" w:before="240"/>
      <w:jc w:val="center"/>
    </w:pPr>
    <w:rPr>
      <w:rFonts w:ascii="Georgia" w:cs="Georgia" w:eastAsia="Georgia" w:hAnsi="Georgia"/>
      <w:b/>
      <w:bCs/>
      <w:color w:val="0B3D2E"/>
      <w:sz w:val="56"/>
      <w:szCs w:val="56"/>
    </w:rPr>
  </w:style>
  <w:style w:styleId="Heading1" w:type="paragraph">
    <w:name w:val="Heading 1"/>
    <w:basedOn w:val="Normal"/>
    <w:next w:val="Normal"/>
    <w:qFormat/>
    <w:pPr>
      <w:pBdr>
        <w:bottom w:color="0B3D2E" w:space="4" w:sz="6" w:val="single"/>
      </w:pBdr>
      <w:spacing w:after="240" w:before="480"/>
    </w:pPr>
    <w:rPr>
      <w:rFonts w:ascii="Georgia" w:cs="Georgia" w:eastAsia="Georgia" w:hAnsi="Georgia"/>
      <w:b/>
      <w:bCs/>
      <w:caps/>
      <w:color w:val="0B3D2E"/>
      <w:sz w:val="30"/>
      <w:szCs w:val="30"/>
    </w:rPr>
  </w:style>
  <w:style w:styleId="Heading2" w:type="paragraph">
    <w:name w:val="Heading 2"/>
    <w:basedOn w:val="Normal"/>
    <w:next w:val="Normal"/>
    <w:qFormat/>
    <w:pPr>
      <w:spacing w:after="160" w:before="320"/>
    </w:pPr>
    <w:rPr>
      <w:rFonts w:ascii="Georgia" w:cs="Georgia" w:eastAsia="Georgia" w:hAnsi="Georgia"/>
      <w:b/>
      <w:bCs/>
      <w:color w:val="0B3D2E"/>
      <w:sz w:val="24"/>
      <w:szCs w:val="24"/>
    </w:rPr>
  </w:style>
  <w:style w:styleId="Heading3" w:type="paragraph">
    <w:name w:val="Heading 3"/>
    <w:basedOn w:val="Normal"/>
    <w:next w:val="Normal"/>
    <w:qFormat/>
    <w:pPr>
      <w:spacing w:after="120" w:before="200"/>
    </w:pPr>
    <w:rPr>
      <w:rFonts w:ascii="Calibri" w:cs="Calibri" w:eastAsia="Calibri" w:hAnsi="Calibri"/>
      <w:b/>
      <w:bCs/>
      <w:color w:val="1A1A1A"/>
      <w:sz w:val="22"/>
      <w:szCs w:val="22"/>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2026-09-22T14:47:02Z</dcterms:created>
  <dcterms:modified xsi:type="dcterms:W3CDTF">2026-09-22T14:47:02Z</dcterms:modified>
</cp:coreProperties>
</file>

<file path=docProps/custom.xml><?xml version="1.0" encoding="utf-8"?>
<Properties xmlns="http://schemas.openxmlformats.org/officeDocument/2006/custom-properties" xmlns:vt="http://schemas.openxmlformats.org/officeDocument/2006/docPropsVTypes"/>
</file>