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Times New Roman" w:hAnsi="Times New Roman"/>
          <w:b/>
          <w:i w:val="0"/>
          <w:color w:val="0F172A"/>
          <w:sz w:val="30"/>
        </w:rPr>
        <w:t>B.SC. PROJECT DEFENSE: ANTICIPATED QUESTIONS &amp; MODEL ANSWERS</w:t>
      </w:r>
    </w:p>
    <w:p>
      <w:pPr>
        <w:spacing w:before="0" w:after="80" w:line="324" w:lineRule="auto"/>
      </w:pPr>
      <w:r>
        <w:rPr>
          <w:rFonts w:ascii="Times New Roman" w:hAnsi="Times New Roman"/>
          <w:b/>
          <w:i w:val="0"/>
          <w:sz w:val="22"/>
        </w:rPr>
        <w:t>Project Topic:</w:t>
      </w:r>
      <w:r>
        <w:rPr>
          <w:rFonts w:ascii="Times New Roman" w:hAnsi="Times New Roman"/>
          <w:b w:val="0"/>
          <w:i w:val="0"/>
          <w:sz w:val="22"/>
        </w:rPr>
        <w:t xml:space="preserve"> Design and Implementation of a Distributed Student Result Management System for Staff, Students and Departments of a Tertiary Institution</w:t>
      </w:r>
    </w:p>
    <w:p>
      <w:pPr>
        <w:spacing w:before="0" w:after="80" w:line="324" w:lineRule="auto"/>
      </w:pPr>
      <w:r>
        <w:rPr>
          <w:rFonts w:ascii="Times New Roman" w:hAnsi="Times New Roman"/>
          <w:b/>
          <w:i w:val="0"/>
          <w:sz w:val="22"/>
        </w:rPr>
        <w:t>Case Study:</w:t>
      </w:r>
      <w:r>
        <w:rPr>
          <w:rFonts w:ascii="Times New Roman" w:hAnsi="Times New Roman"/>
          <w:b w:val="0"/>
          <w:i w:val="0"/>
          <w:sz w:val="22"/>
        </w:rPr>
        <w:t xml:space="preserve"> Department of Computer Science, University of Nigeria, Nsukka</w:t>
      </w:r>
    </w:p>
    <w:p>
      <w:pPr>
        <w:spacing w:before="0" w:after="80" w:line="324" w:lineRule="auto"/>
      </w:pPr>
      <w:r>
        <w:rPr>
          <w:rFonts w:ascii="Times New Roman" w:hAnsi="Times New Roman"/>
          <w:b/>
          <w:i w:val="0"/>
          <w:sz w:val="22"/>
        </w:rPr>
        <w:t>Project Researchers:</w:t>
      </w:r>
    </w:p>
    <w:p>
      <w:pPr>
        <w:pStyle w:val="ListBullet"/>
        <w:spacing w:before="20" w:after="40" w:line="300" w:lineRule="auto"/>
      </w:pPr>
      <w:r>
        <w:rPr>
          <w:rFonts w:ascii="Times New Roman" w:hAnsi="Times New Roman"/>
          <w:b w:val="0"/>
          <w:i w:val="0"/>
          <w:sz w:val="22"/>
        </w:rPr>
        <w:t>Ude Justine Onyedika (</w:t>
      </w:r>
      <w:r>
        <w:rPr>
          <w:rFonts w:ascii="Consolas" w:hAnsi="Consolas"/>
          <w:b/>
          <w:color w:val="1E293B"/>
          <w:sz w:val="20"/>
        </w:rPr>
        <w:t>2022/244096</w:t>
      </w:r>
      <w:r>
        <w:rPr>
          <w:rFonts w:ascii="Times New Roman" w:hAnsi="Times New Roman"/>
          <w:b w:val="0"/>
          <w:i w:val="0"/>
          <w:sz w:val="22"/>
        </w:rPr>
        <w:t>)</w:t>
      </w:r>
    </w:p>
    <w:p>
      <w:pPr>
        <w:pStyle w:val="ListBullet"/>
        <w:spacing w:before="20" w:after="40" w:line="300" w:lineRule="auto"/>
      </w:pPr>
      <w:r>
        <w:rPr>
          <w:rFonts w:ascii="Times New Roman" w:hAnsi="Times New Roman"/>
          <w:b w:val="0"/>
          <w:i w:val="0"/>
          <w:sz w:val="22"/>
        </w:rPr>
        <w:t>Udebuani Daniel Uchechukwu (</w:t>
      </w:r>
      <w:r>
        <w:rPr>
          <w:rFonts w:ascii="Consolas" w:hAnsi="Consolas"/>
          <w:b/>
          <w:color w:val="1E293B"/>
          <w:sz w:val="20"/>
        </w:rPr>
        <w:t>2022/249081</w:t>
      </w:r>
      <w:r>
        <w:rPr>
          <w:rFonts w:ascii="Times New Roman" w:hAnsi="Times New Roman"/>
          <w:b w:val="0"/>
          <w:i w:val="0"/>
          <w:sz w:val="22"/>
        </w:rPr>
        <w:t>)</w:t>
      </w:r>
    </w:p>
    <w:p>
      <w:pPr>
        <w:pStyle w:val="ListBullet"/>
        <w:spacing w:before="20" w:after="40" w:line="300" w:lineRule="auto"/>
      </w:pPr>
      <w:r>
        <w:rPr>
          <w:rFonts w:ascii="Times New Roman" w:hAnsi="Times New Roman"/>
          <w:b w:val="0"/>
          <w:i w:val="0"/>
          <w:sz w:val="22"/>
        </w:rPr>
        <w:t>Udebuani Somto Sixtus (</w:t>
      </w:r>
      <w:r>
        <w:rPr>
          <w:rFonts w:ascii="Consolas" w:hAnsi="Consolas"/>
          <w:b/>
          <w:color w:val="1E293B"/>
          <w:sz w:val="20"/>
        </w:rPr>
        <w:t>2022/246656</w:t>
      </w:r>
      <w:r>
        <w:rPr>
          <w:rFonts w:ascii="Times New Roman" w:hAnsi="Times New Roman"/>
          <w:b w:val="0"/>
          <w:i w:val="0"/>
          <w:sz w:val="22"/>
        </w:rPr>
        <w:t>)</w:t>
      </w:r>
    </w:p>
    <w:p>
      <w:pPr>
        <w:spacing w:before="0" w:after="80" w:line="324" w:lineRule="auto"/>
      </w:pPr>
      <w:r>
        <w:rPr>
          <w:rFonts w:ascii="Times New Roman" w:hAnsi="Times New Roman"/>
          <w:b/>
          <w:i w:val="0"/>
          <w:sz w:val="22"/>
        </w:rPr>
        <w:t>Project Supervisor:</w:t>
      </w:r>
      <w:r>
        <w:rPr>
          <w:rFonts w:ascii="Times New Roman" w:hAnsi="Times New Roman"/>
          <w:b w:val="0"/>
          <w:i w:val="0"/>
          <w:sz w:val="22"/>
        </w:rPr>
        <w:t xml:space="preserve"> Mr. S.B. Ponsak | </w:t>
      </w:r>
      <w:r>
        <w:rPr>
          <w:rFonts w:ascii="Times New Roman" w:hAnsi="Times New Roman"/>
          <w:b/>
          <w:i w:val="0"/>
          <w:sz w:val="22"/>
        </w:rPr>
        <w:t>Head of Department:</w:t>
      </w:r>
      <w:r>
        <w:rPr>
          <w:rFonts w:ascii="Times New Roman" w:hAnsi="Times New Roman"/>
          <w:b w:val="0"/>
          <w:i w:val="0"/>
          <w:sz w:val="22"/>
        </w:rPr>
        <w:t xml:space="preserve"> Dr. Ugwuishi</w:t>
      </w: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CATEGORY 1: CONCEPTUAL &amp; MOTIVATIONAL QUESTIONS</w:t>
      </w:r>
    </w:p>
    <w:p>
      <w:pPr>
        <w:keepNext/>
        <w:spacing w:before="200" w:after="60"/>
      </w:pPr>
      <w:r>
        <w:rPr>
          <w:rFonts w:ascii="Times New Roman" w:hAnsi="Times New Roman"/>
          <w:b/>
          <w:i w:val="0"/>
          <w:color w:val="0F172A"/>
          <w:sz w:val="24"/>
        </w:rPr>
        <w:t>Question 1: "What makes your system 'distributed'? Isn't this just a centralized web application hosted on Supabase?"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"That is an important architectural distinction, sir. While our database is hosted in a centralized cloud cluster for unified persistence and consistency, the </w:t>
            </w:r>
            <w:r>
              <w:rPr>
                <w:rFonts w:ascii="Times New Roman" w:hAnsi="Times New Roman"/>
                <w:b w:val="0"/>
                <w:i/>
                <w:color w:val="0F172A"/>
                <w:sz w:val="21"/>
              </w:rPr>
              <w:t>operational logic and data governance are distributed</w:t>
            </w:r>
            <w:r>
              <w:rPr>
                <w:rFonts w:ascii="Times New Roman" w:hAnsi="Times New Roman"/>
                <w:b w:val="0"/>
                <w:i/>
                <w:color w:val="0F172A"/>
                <w:sz w:val="21"/>
              </w:rPr>
              <w:t>*. In traditional systems, all grading authority is centralized in an Exams Unit that manually keys in scores. In our system:</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1. Authority is federated across independent departmental nodes: the teaching department (e.g., Computer Science) controls examination compilation for courses like COS 101, but has zero authority over student registration records in Mathematics or Vocational Teacher Education.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2. Result dispatches are partitioned: when Computer Science distributes COS 101, the system decentralizes the roster and routes distinct sub-rosters exclusively to the respective receiving HODs.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3. Each receiving department operates as an autonomous node that must independently inspect, verify, and digitally acknowledge receipt before grades are finalized. This represents a distributed departmental governance model."*</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Question 2: "UNN already has an institutional portal (unnportal.edu.ng). Why is your system necessary?"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"The institutional portal is primarily an ERP designed for broad functions—school fee payments, course registrations, and final transcript printing. However, it treats result processing as an afterthought and does not address the </w:t>
            </w:r>
            <w:r>
              <w:rPr>
                <w:rFonts w:ascii="Times New Roman" w:hAnsi="Times New Roman"/>
                <w:b w:val="0"/>
                <w:i/>
                <w:color w:val="0F172A"/>
                <w:sz w:val="21"/>
              </w:rPr>
              <w:t>inter-departmental service course workflow bottleneck</w:t>
            </w:r>
            <w:r>
              <w:rPr>
                <w:rFonts w:ascii="Times New Roman" w:hAnsi="Times New Roman"/>
                <w:b w:val="0"/>
                <w:i/>
                <w:color w:val="0F172A"/>
                <w:sz w:val="21"/>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Currently at UNN, when 1,500 non-major students take COS 101 or COS 201, the course lecturer must manually print broadsheets, separate student names by department, and walk physical copies across faculties. The central portal does not provide an automated inter-departmental distribution handshake, digital HOD receipt acknowledgement, or an integrated dispute management portal for continuous assessment. Our system solves the specific departmental pipeline problems that the general institutional portal ignores."*</w:t>
            </w:r>
          </w:p>
        </w:tc>
      </w:tr>
    </w:tbl>
    <w:p>
      <w:pPr>
        <w:spacing w:after="80"/>
      </w:pP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CATEGORY 2: SOFTWARE ARCHITECTURE &amp; TECH STACK QUESTIONS</w:t>
      </w:r>
    </w:p>
    <w:p>
      <w:pPr>
        <w:keepNext/>
        <w:spacing w:before="200" w:after="60"/>
      </w:pPr>
      <w:r>
        <w:rPr>
          <w:rFonts w:ascii="Times New Roman" w:hAnsi="Times New Roman"/>
          <w:b/>
          <w:i w:val="0"/>
          <w:color w:val="0F172A"/>
          <w:sz w:val="24"/>
        </w:rPr>
        <w:t>Question 3: "Why did you choose Next.js and Supabase instead of traditional PHP and MySQL which most university systems use?"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*"We chose Next.js and Supabase for three key engineering reasons: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1. </w:t>
            </w:r>
            <w:r>
              <w:rPr>
                <w:rFonts w:ascii="Times New Roman" w:hAnsi="Times New Roman"/>
                <w:b/>
                <w:i/>
                <w:color w:val="0F172A"/>
                <w:sz w:val="21"/>
              </w:rPr>
              <w:t>Component-Based Modular Architecture:</w:t>
            </w:r>
            <w:r>
              <w:rPr>
                <w:rFonts w:ascii="Times New Roman" w:hAnsi="Times New Roman"/>
                <w:b w:val="0"/>
                <w:i/>
                <w:color w:val="0F172A"/>
                <w:sz w:val="21"/>
              </w:rPr>
              <w:t xml:space="preserve"> Next.js provides hybrid rendering (Server Components and Client Components). Critical data like broadsheets and transcripts render securely on the server, while interactive tools like Excel file parsing (SheetJS) and client-side print layout generation run with zero page-reload lag on the client.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2. </w:t>
            </w:r>
            <w:r>
              <w:rPr>
                <w:rFonts w:ascii="Times New Roman" w:hAnsi="Times New Roman"/>
                <w:b/>
                <w:i/>
                <w:color w:val="0F172A"/>
                <w:sz w:val="21"/>
              </w:rPr>
              <w:t>Enterprise Security via Row-Level Security (RLS):</w:t>
            </w:r>
            <w:r>
              <w:rPr>
                <w:rFonts w:ascii="Times New Roman" w:hAnsi="Times New Roman"/>
                <w:b w:val="0"/>
                <w:i/>
                <w:color w:val="0F172A"/>
                <w:sz w:val="21"/>
              </w:rPr>
              <w:t xml:space="preserve"> Unlike traditional PHP/MySQL where access logic is often hard-coded into raw SQL queries, PostgreSQL in Supabase enforces security policies directly at the database engine level. A lecturer's database session cannot read or update courses they are not assigned to, regardless of frontend exploits.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3. </w:t>
            </w:r>
            <w:r>
              <w:rPr>
                <w:rFonts w:ascii="Times New Roman" w:hAnsi="Times New Roman"/>
                <w:b/>
                <w:i/>
                <w:color w:val="0F172A"/>
                <w:sz w:val="21"/>
              </w:rPr>
              <w:t>Scalability &amp; Modern JavaScript Ecosystem:</w:t>
            </w:r>
            <w:r>
              <w:rPr>
                <w:rFonts w:ascii="Times New Roman" w:hAnsi="Times New Roman"/>
                <w:b w:val="0"/>
                <w:i/>
                <w:color w:val="0F172A"/>
                <w:sz w:val="21"/>
              </w:rPr>
              <w:t xml:space="preserve"> Supabase PostgreSQL handles relational integrity with ACID compliance, and Next.js allows rapid integration with modern client libraries without heavy server configuration."*</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Question 4: "How does your system prevent grade tampering? What stops a lecturer from changing marks after distribution?"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*"We implemented an immutable state machine combined with Role-Based Access Control (RBAC):</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1. </w:t>
            </w:r>
            <w:r>
              <w:rPr>
                <w:rFonts w:ascii="Times New Roman" w:hAnsi="Times New Roman"/>
                <w:b/>
                <w:i/>
                <w:color w:val="0F172A"/>
                <w:sz w:val="21"/>
              </w:rPr>
              <w:t>Lifecycle States:</w:t>
            </w:r>
            <w:r>
              <w:rPr>
                <w:rFonts w:ascii="Times New Roman" w:hAnsi="Times New Roman"/>
                <w:b w:val="0"/>
                <w:i/>
                <w:color w:val="0F172A"/>
                <w:sz w:val="21"/>
              </w:rPr>
              <w:t xml:space="preserve"> Every course result follows strict linear states: </w:t>
            </w:r>
            <w:r>
              <w:rPr>
                <w:rFonts w:ascii="Consolas" w:hAnsi="Consolas"/>
                <w:b/>
                <w:color w:val="1E293B"/>
                <w:sz w:val="19"/>
              </w:rPr>
              <w:t>draft</w:t>
            </w:r>
            <w:r>
              <w:rPr>
                <w:rFonts w:ascii="Times New Roman" w:hAnsi="Times New Roman"/>
                <w:b w:val="0"/>
                <w:i/>
                <w:color w:val="0F172A"/>
                <w:sz w:val="21"/>
              </w:rPr>
              <w:t xml:space="preserve"> $\rightarrow$ </w:t>
            </w:r>
            <w:r>
              <w:rPr>
                <w:rFonts w:ascii="Consolas" w:hAnsi="Consolas"/>
                <w:b/>
                <w:color w:val="1E293B"/>
                <w:sz w:val="19"/>
              </w:rPr>
              <w:t>distributed</w:t>
            </w:r>
            <w:r>
              <w:rPr>
                <w:rFonts w:ascii="Times New Roman" w:hAnsi="Times New Roman"/>
                <w:b w:val="0"/>
                <w:i/>
                <w:color w:val="0F172A"/>
                <w:sz w:val="21"/>
              </w:rPr>
              <w:t xml:space="preserve"> $\rightarrow$ </w:t>
            </w:r>
            <w:r>
              <w:rPr>
                <w:rFonts w:ascii="Consolas" w:hAnsi="Consolas"/>
                <w:b/>
                <w:color w:val="1E293B"/>
                <w:sz w:val="19"/>
              </w:rPr>
              <w:t>acknowledged</w:t>
            </w:r>
            <w:r>
              <w:rPr>
                <w:rFonts w:ascii="Times New Roman" w:hAnsi="Times New Roman"/>
                <w:b w:val="0"/>
                <w:i/>
                <w:color w:val="0F172A"/>
                <w:sz w:val="21"/>
              </w:rPr>
              <w:t xml:space="preserve"> $\rightarrow$ </w:t>
            </w:r>
            <w:r>
              <w:rPr>
                <w:rFonts w:ascii="Consolas" w:hAnsi="Consolas"/>
                <w:b/>
                <w:color w:val="1E293B"/>
                <w:sz w:val="19"/>
              </w:rPr>
              <w:t>archived</w:t>
            </w:r>
            <w:r>
              <w:rPr>
                <w:rFonts w:ascii="Times New Roman" w:hAnsi="Times New Roman"/>
                <w:b w:val="0"/>
                <w:i/>
                <w:color w:val="0F172A"/>
                <w:sz w:val="21"/>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2. </w:t>
            </w:r>
            <w:r>
              <w:rPr>
                <w:rFonts w:ascii="Times New Roman" w:hAnsi="Times New Roman"/>
                <w:b/>
                <w:i/>
                <w:color w:val="0F172A"/>
                <w:sz w:val="21"/>
              </w:rPr>
              <w:t>Immutable Freezing:</w:t>
            </w:r>
            <w:r>
              <w:rPr>
                <w:rFonts w:ascii="Times New Roman" w:hAnsi="Times New Roman"/>
                <w:b w:val="0"/>
                <w:i/>
                <w:color w:val="0F172A"/>
                <w:sz w:val="21"/>
              </w:rPr>
              <w:t xml:space="preserve"> Once the Head of Department clicks 'Distribute Results', the backend marks the records as distributed. At this exact moment, database mutation permissions for that course's lecturer are revoked. A lecturer cannot edit, re-upload, or overwrite scores once distribution is triggered.</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3. </w:t>
            </w:r>
            <w:r>
              <w:rPr>
                <w:rFonts w:ascii="Times New Roman" w:hAnsi="Times New Roman"/>
                <w:b/>
                <w:i/>
                <w:color w:val="0F172A"/>
                <w:sz w:val="21"/>
              </w:rPr>
              <w:t>Dual Audit Trail:</w:t>
            </w:r>
            <w:r>
              <w:rPr>
                <w:rFonts w:ascii="Times New Roman" w:hAnsi="Times New Roman"/>
                <w:b w:val="0"/>
                <w:i/>
                <w:color w:val="0F172A"/>
                <w:sz w:val="21"/>
              </w:rPr>
              <w:t xml:space="preserve"> Both the sending HOD's dispatch and the receiving HOD's acknowledgement are timestamped with user IDs. Any subsequent change requires a formal administrative dispute ticket logged in Table 12 (</w:t>
            </w:r>
            <w:r>
              <w:rPr>
                <w:rFonts w:ascii="Consolas" w:hAnsi="Consolas"/>
                <w:b/>
                <w:color w:val="1E293B"/>
                <w:sz w:val="19"/>
              </w:rPr>
              <w:t>complaints</w:t>
            </w:r>
            <w:r>
              <w:rPr>
                <w:rFonts w:ascii="Times New Roman" w:hAnsi="Times New Roman"/>
                <w:b w:val="0"/>
                <w:i/>
                <w:color w:val="0F172A"/>
                <w:sz w:val="21"/>
              </w:rPr>
              <w:t>), ensuring non-repudiation."*</w:t>
            </w:r>
          </w:p>
        </w:tc>
      </w:tr>
    </w:tbl>
    <w:p>
      <w:pPr>
        <w:spacing w:after="80"/>
      </w:pP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CATEGORY 3: ALGORITHMIC &amp; GRADING QUESTIONS</w:t>
      </w:r>
    </w:p>
    <w:p>
      <w:pPr>
        <w:keepNext/>
        <w:spacing w:before="200" w:after="60"/>
      </w:pPr>
      <w:r>
        <w:rPr>
          <w:rFonts w:ascii="Times New Roman" w:hAnsi="Times New Roman"/>
          <w:b/>
          <w:i w:val="0"/>
          <w:color w:val="0F172A"/>
          <w:sz w:val="24"/>
        </w:rPr>
        <w:t>Question 5: "How does your system compute GPA and CGPA? Explain the mathematical formula under the NUC 5-point benchmark."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*"Our computation engine strictly implements the National Universities Commission (NUC) Core Curriculum and Minimum Academic Standards (CCMAS) 5-point grading system:</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 Scores $70 - 100$: Grade </w:t>
            </w:r>
            <w:r>
              <w:rPr>
                <w:rFonts w:ascii="Times New Roman" w:hAnsi="Times New Roman"/>
                <w:b/>
                <w:i/>
                <w:color w:val="0F172A"/>
                <w:sz w:val="21"/>
              </w:rPr>
              <w:t>A</w:t>
            </w:r>
            <w:r>
              <w:rPr>
                <w:rFonts w:ascii="Times New Roman" w:hAnsi="Times New Roman"/>
                <w:b w:val="0"/>
                <w:i/>
                <w:color w:val="0F172A"/>
                <w:sz w:val="21"/>
              </w:rPr>
              <w:t xml:space="preserve"> (5.0 Grade Points)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 Scores $60 - 69$: Grade </w:t>
            </w:r>
            <w:r>
              <w:rPr>
                <w:rFonts w:ascii="Times New Roman" w:hAnsi="Times New Roman"/>
                <w:b/>
                <w:i/>
                <w:color w:val="0F172A"/>
                <w:sz w:val="21"/>
              </w:rPr>
              <w:t>B</w:t>
            </w:r>
            <w:r>
              <w:rPr>
                <w:rFonts w:ascii="Times New Roman" w:hAnsi="Times New Roman"/>
                <w:b w:val="0"/>
                <w:i/>
                <w:color w:val="0F172A"/>
                <w:sz w:val="21"/>
              </w:rPr>
              <w:t xml:space="preserve"> (4.0 Grade Points)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 Scores $50 - 59$: Grade </w:t>
            </w:r>
            <w:r>
              <w:rPr>
                <w:rFonts w:ascii="Times New Roman" w:hAnsi="Times New Roman"/>
                <w:b/>
                <w:i/>
                <w:color w:val="0F172A"/>
                <w:sz w:val="21"/>
              </w:rPr>
              <w:t>C</w:t>
            </w:r>
            <w:r>
              <w:rPr>
                <w:rFonts w:ascii="Times New Roman" w:hAnsi="Times New Roman"/>
                <w:b w:val="0"/>
                <w:i/>
                <w:color w:val="0F172A"/>
                <w:sz w:val="21"/>
              </w:rPr>
              <w:t xml:space="preserve"> (3.0 Grade Points)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 Scores $45 - 49$: Grade </w:t>
            </w:r>
            <w:r>
              <w:rPr>
                <w:rFonts w:ascii="Times New Roman" w:hAnsi="Times New Roman"/>
                <w:b/>
                <w:i/>
                <w:color w:val="0F172A"/>
                <w:sz w:val="21"/>
              </w:rPr>
              <w:t>D</w:t>
            </w:r>
            <w:r>
              <w:rPr>
                <w:rFonts w:ascii="Times New Roman" w:hAnsi="Times New Roman"/>
                <w:b w:val="0"/>
                <w:i/>
                <w:color w:val="0F172A"/>
                <w:sz w:val="21"/>
              </w:rPr>
              <w:t xml:space="preserve"> (2.0 Grade Points)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 Scores $0 - 44$: Grade </w:t>
            </w:r>
            <w:r>
              <w:rPr>
                <w:rFonts w:ascii="Times New Roman" w:hAnsi="Times New Roman"/>
                <w:b/>
                <w:i/>
                <w:color w:val="0F172A"/>
                <w:sz w:val="21"/>
              </w:rPr>
              <w:t>F</w:t>
            </w:r>
            <w:r>
              <w:rPr>
                <w:rFonts w:ascii="Times New Roman" w:hAnsi="Times New Roman"/>
                <w:b w:val="0"/>
                <w:i/>
                <w:color w:val="0F172A"/>
                <w:sz w:val="21"/>
              </w:rPr>
              <w:t xml:space="preserve"> (0.0 Grade Points)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The formula executes in two stages: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1. </w:t>
            </w:r>
            <w:r>
              <w:rPr>
                <w:rFonts w:ascii="Times New Roman" w:hAnsi="Times New Roman"/>
                <w:b/>
                <w:i/>
                <w:color w:val="0F172A"/>
                <w:sz w:val="21"/>
              </w:rPr>
              <w:t>Quality Points (QP):</w:t>
            </w:r>
            <w:r>
              <w:rPr>
                <w:rFonts w:ascii="Times New Roman" w:hAnsi="Times New Roman"/>
                <w:b w:val="0"/>
                <w:i/>
                <w:color w:val="0F172A"/>
                <w:sz w:val="21"/>
              </w:rPr>
              <w:t xml:space="preserve"> For each course $i$, $\text{QP}_i = \text{Credit Units}_i \times \text{Grade Point}_i$.</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2. </w:t>
            </w:r>
            <w:r>
              <w:rPr>
                <w:rFonts w:ascii="Times New Roman" w:hAnsi="Times New Roman"/>
                <w:b/>
                <w:i/>
                <w:color w:val="0F172A"/>
                <w:sz w:val="21"/>
              </w:rPr>
              <w:t>Cumulative Grade Point Average (CGPA):</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$$\text{CGPA} = \frac{\sum_{i=1}^{n} \text{QP}_i}{\sum_{i=1}^{n} \text{Credit Units}_i}$$</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The system tracks both current Semester GPA and Cumulative CGPA across all completed semesters, rounding to two decimal places and mapping the final score to degree classifications (e.g., $4.50 - 5.00$ for First Class Honours; $3.50 - 4.49$ for Second Class Upper)."*</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Question 6: "How does the system handle students with carryovers or repeated courses?"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"Under the NUC regulation, when a student carries over or repeats a course, the failed attempt and its credit units remain on their permanent academic transcript and contribute to the cumulative denominator. When the course is retaken and passed, the new grade and units are factored into the cumulative quality points. Our `cgpa_records` table aggregates total credit units registered versus total credit units earned across all sessions, ensuring the transcript mathematically reflects academic progression without erasing historical attempts."</w:t>
            </w:r>
          </w:p>
        </w:tc>
      </w:tr>
    </w:tbl>
    <w:p>
      <w:pPr>
        <w:spacing w:after="80"/>
      </w:pP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CATEGORY 4: DEPARTMENTAL WORKFLOW &amp; DATABASE QUESTIONS</w:t>
      </w:r>
    </w:p>
    <w:p>
      <w:pPr>
        <w:keepNext/>
        <w:spacing w:before="200" w:after="60"/>
      </w:pPr>
      <w:r>
        <w:rPr>
          <w:rFonts w:ascii="Times New Roman" w:hAnsi="Times New Roman"/>
          <w:b/>
          <w:i w:val="0"/>
          <w:color w:val="0F172A"/>
          <w:sz w:val="24"/>
        </w:rPr>
        <w:t>Question 7: "Explain Table 12 (</w:t>
      </w:r>
      <w:r>
        <w:rPr>
          <w:rFonts w:ascii="Consolas" w:hAnsi="Consolas"/>
          <w:b/>
          <w:color w:val="1E293B"/>
          <w:sz w:val="22"/>
        </w:rPr>
        <w:t>complaints</w:t>
      </w:r>
      <w:r>
        <w:rPr>
          <w:rFonts w:ascii="Times New Roman" w:hAnsi="Times New Roman"/>
          <w:b/>
          <w:i w:val="0"/>
          <w:color w:val="0F172A"/>
          <w:sz w:val="24"/>
        </w:rPr>
        <w:t>). Why was it added and how does the dispute resolution workflow operate?"</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*"Table 12 was added to address a major weakness of the existing system: student anxiety and administrative delays surrounding missing or disputed scores.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The schema stores: </w:t>
            </w:r>
            <w:r>
              <w:rPr>
                <w:rFonts w:ascii="Consolas" w:hAnsi="Consolas"/>
                <w:b/>
                <w:color w:val="1E293B"/>
                <w:sz w:val="19"/>
              </w:rPr>
              <w:t>id</w:t>
            </w:r>
            <w:r>
              <w:rPr>
                <w:rFonts w:ascii="Times New Roman" w:hAnsi="Times New Roman"/>
                <w:b w:val="0"/>
                <w:i/>
                <w:color w:val="0F172A"/>
                <w:sz w:val="21"/>
              </w:rPr>
              <w:t xml:space="preserve">, </w:t>
            </w:r>
            <w:r>
              <w:rPr>
                <w:rFonts w:ascii="Consolas" w:hAnsi="Consolas"/>
                <w:b/>
                <w:color w:val="1E293B"/>
                <w:sz w:val="19"/>
              </w:rPr>
              <w:t>student_id</w:t>
            </w:r>
            <w:r>
              <w:rPr>
                <w:rFonts w:ascii="Times New Roman" w:hAnsi="Times New Roman"/>
                <w:b w:val="0"/>
                <w:i/>
                <w:color w:val="0F172A"/>
                <w:sz w:val="21"/>
              </w:rPr>
              <w:t xml:space="preserve">, </w:t>
            </w:r>
            <w:r>
              <w:rPr>
                <w:rFonts w:ascii="Consolas" w:hAnsi="Consolas"/>
                <w:b/>
                <w:color w:val="1E293B"/>
                <w:sz w:val="19"/>
              </w:rPr>
              <w:t>course_id</w:t>
            </w:r>
            <w:r>
              <w:rPr>
                <w:rFonts w:ascii="Times New Roman" w:hAnsi="Times New Roman"/>
                <w:b w:val="0"/>
                <w:i/>
                <w:color w:val="0F172A"/>
                <w:sz w:val="21"/>
              </w:rPr>
              <w:t xml:space="preserve">, </w:t>
            </w:r>
            <w:r>
              <w:rPr>
                <w:rFonts w:ascii="Consolas" w:hAnsi="Consolas"/>
                <w:b/>
                <w:color w:val="1E293B"/>
                <w:sz w:val="19"/>
              </w:rPr>
              <w:t>issue_type</w:t>
            </w:r>
            <w:r>
              <w:rPr>
                <w:rFonts w:ascii="Times New Roman" w:hAnsi="Times New Roman"/>
                <w:b w:val="0"/>
                <w:i/>
                <w:color w:val="0F172A"/>
                <w:sz w:val="21"/>
              </w:rPr>
              <w:t xml:space="preserve"> (e.g., Missing Score, Calculation Error, CA Discrepancy), </w:t>
            </w:r>
            <w:r>
              <w:rPr>
                <w:rFonts w:ascii="Consolas" w:hAnsi="Consolas"/>
                <w:b/>
                <w:color w:val="1E293B"/>
                <w:sz w:val="19"/>
              </w:rPr>
              <w:t>description</w:t>
            </w:r>
            <w:r>
              <w:rPr>
                <w:rFonts w:ascii="Times New Roman" w:hAnsi="Times New Roman"/>
                <w:b w:val="0"/>
                <w:i/>
                <w:color w:val="0F172A"/>
                <w:sz w:val="21"/>
              </w:rPr>
              <w:t xml:space="preserve">, </w:t>
            </w:r>
            <w:r>
              <w:rPr>
                <w:rFonts w:ascii="Consolas" w:hAnsi="Consolas"/>
                <w:b/>
                <w:color w:val="1E293B"/>
                <w:sz w:val="19"/>
              </w:rPr>
              <w:t>status</w:t>
            </w:r>
            <w:r>
              <w:rPr>
                <w:rFonts w:ascii="Times New Roman" w:hAnsi="Times New Roman"/>
                <w:b w:val="0"/>
                <w:i/>
                <w:color w:val="0F172A"/>
                <w:sz w:val="21"/>
              </w:rPr>
              <w:t xml:space="preserve"> (</w:t>
            </w:r>
            <w:r>
              <w:rPr>
                <w:rFonts w:ascii="Consolas" w:hAnsi="Consolas"/>
                <w:b/>
                <w:color w:val="1E293B"/>
                <w:sz w:val="19"/>
              </w:rPr>
              <w:t>pending</w:t>
            </w:r>
            <w:r>
              <w:rPr>
                <w:rFonts w:ascii="Times New Roman" w:hAnsi="Times New Roman"/>
                <w:b w:val="0"/>
                <w:i/>
                <w:color w:val="0F172A"/>
                <w:sz w:val="21"/>
              </w:rPr>
              <w:t xml:space="preserve">, </w:t>
            </w:r>
            <w:r>
              <w:rPr>
                <w:rFonts w:ascii="Consolas" w:hAnsi="Consolas"/>
                <w:b/>
                <w:color w:val="1E293B"/>
                <w:sz w:val="19"/>
              </w:rPr>
              <w:t>under_review</w:t>
            </w:r>
            <w:r>
              <w:rPr>
                <w:rFonts w:ascii="Times New Roman" w:hAnsi="Times New Roman"/>
                <w:b w:val="0"/>
                <w:i/>
                <w:color w:val="0F172A"/>
                <w:sz w:val="21"/>
              </w:rPr>
              <w:t xml:space="preserve">, </w:t>
            </w:r>
            <w:r>
              <w:rPr>
                <w:rFonts w:ascii="Consolas" w:hAnsi="Consolas"/>
                <w:b/>
                <w:color w:val="1E293B"/>
                <w:sz w:val="19"/>
              </w:rPr>
              <w:t>resolved</w:t>
            </w:r>
            <w:r>
              <w:rPr>
                <w:rFonts w:ascii="Times New Roman" w:hAnsi="Times New Roman"/>
                <w:b w:val="0"/>
                <w:i/>
                <w:color w:val="0F172A"/>
                <w:sz w:val="21"/>
              </w:rPr>
              <w:t xml:space="preserve">), </w:t>
            </w:r>
            <w:r>
              <w:rPr>
                <w:rFonts w:ascii="Consolas" w:hAnsi="Consolas"/>
                <w:b/>
                <w:color w:val="1E293B"/>
                <w:sz w:val="19"/>
              </w:rPr>
              <w:t>resolution_notes</w:t>
            </w:r>
            <w:r>
              <w:rPr>
                <w:rFonts w:ascii="Times New Roman" w:hAnsi="Times New Roman"/>
                <w:b w:val="0"/>
                <w:i/>
                <w:color w:val="0F172A"/>
                <w:sz w:val="21"/>
              </w:rPr>
              <w:t xml:space="preserve">, and </w:t>
            </w:r>
            <w:r>
              <w:rPr>
                <w:rFonts w:ascii="Consolas" w:hAnsi="Consolas"/>
                <w:b/>
                <w:color w:val="1E293B"/>
                <w:sz w:val="19"/>
              </w:rPr>
              <w:t>created_at</w:t>
            </w:r>
            <w:r>
              <w:rPr>
                <w:rFonts w:ascii="Times New Roman" w:hAnsi="Times New Roman"/>
                <w:b w:val="0"/>
                <w:i/>
                <w:color w:val="0F172A"/>
                <w:sz w:val="21"/>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Workflow:</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1. When a student reviews their semester results on their portal and spots an omission, they lodge a dispute ticket with a single click.</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2. This dispute appears immediately on the dashboards of the course lecturer, the HOD, and the Exams Officer.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3. The officer checks the raw uploaded spreadsheet audit log. If a clerical error occurred, the grade is updated, resolution notes are entered, and the ticket status transitions to </w:t>
            </w:r>
            <w:r>
              <w:rPr>
                <w:rFonts w:ascii="Consolas" w:hAnsi="Consolas"/>
                <w:b/>
                <w:color w:val="1E293B"/>
                <w:sz w:val="19"/>
              </w:rPr>
              <w:t>resolved</w:t>
            </w:r>
            <w:r>
              <w:rPr>
                <w:rFonts w:ascii="Times New Roman" w:hAnsi="Times New Roman"/>
                <w:b w:val="0"/>
                <w:i/>
                <w:color w:val="0F172A"/>
                <w:sz w:val="21"/>
              </w:rPr>
              <w:t>.</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4. The student sees the resolution in real time, eliminating physical confrontation and bureaucratic queues."*</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Question 8: "What is the role of the Central Exams Officer in your system if HODs already acknowledge results?"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"In university administration, departmental HODs are the academic custodians, but the </w:t>
            </w:r>
            <w:r>
              <w:rPr>
                <w:rFonts w:ascii="Times New Roman" w:hAnsi="Times New Roman"/>
                <w:b w:val="0"/>
                <w:i/>
                <w:color w:val="0F172A"/>
                <w:sz w:val="21"/>
              </w:rPr>
              <w:t>Central Examinations and Records Unit</w:t>
            </w:r>
            <w:r>
              <w:rPr>
                <w:rFonts w:ascii="Times New Roman" w:hAnsi="Times New Roman"/>
                <w:b w:val="0"/>
                <w:i/>
                <w:color w:val="0F172A"/>
                <w:sz w:val="21"/>
              </w:rPr>
              <w:t>* is the institutional legal custodian of transcripts.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In our system, whenever a sending HOD distributes results to receiving departments, an automatic master copy is dispatched simultaneously to the Central Examinations Unit. The Exams Officer has a dedicated portal view where they review cross-faculty broadsheets and click the green </w:t>
            </w:r>
            <w:r>
              <w:rPr>
                <w:rFonts w:ascii="Times New Roman" w:hAnsi="Times New Roman"/>
                <w:b/>
                <w:i/>
                <w:color w:val="0F172A"/>
                <w:sz w:val="21"/>
              </w:rPr>
              <w:t>'Acknowledge Archival Copy'</w:t>
            </w:r>
            <w:r>
              <w:rPr>
                <w:rFonts w:ascii="Times New Roman" w:hAnsi="Times New Roman"/>
                <w:b w:val="0"/>
                <w:i/>
                <w:color w:val="0F172A"/>
                <w:sz w:val="21"/>
              </w:rPr>
              <w:t xml:space="preserve"> button. This creates an unalterable central archive required for official senate approval and degree clearance."*</w:t>
            </w:r>
          </w:p>
        </w:tc>
      </w:tr>
    </w:tbl>
    <w:p>
      <w:pPr>
        <w:spacing w:after="80"/>
      </w:pPr>
    </w:p>
    <w:p>
      <w:pPr>
        <w:spacing w:before="80" w:after="80"/>
      </w:pPr>
      <w:r>
        <w:rPr>
          <w:color w:val="CBD5E1"/>
        </w:rPr>
        <w:t>_______________________________________________________________________________</w:t>
      </w:r>
    </w:p>
    <w:p>
      <w:pPr>
        <w:keepNext/>
        <w:spacing w:before="240" w:after="80"/>
      </w:pPr>
      <w:r>
        <w:rPr>
          <w:rFonts w:ascii="Times New Roman" w:hAnsi="Times New Roman"/>
          <w:b/>
          <w:i w:val="0"/>
          <w:color w:val="1E3A8A"/>
          <w:sz w:val="26"/>
        </w:rPr>
        <w:t>CATEGORY 5: INDIVIDUAL CONTRIBUTIONS &amp; PRACTICAL DEFENSE QUESTIONS</w:t>
      </w:r>
    </w:p>
    <w:p>
      <w:pPr>
        <w:keepNext/>
        <w:spacing w:before="200" w:after="60"/>
      </w:pPr>
      <w:r>
        <w:rPr>
          <w:rFonts w:ascii="Times New Roman" w:hAnsi="Times New Roman"/>
          <w:b/>
          <w:i w:val="0"/>
          <w:color w:val="0F172A"/>
          <w:sz w:val="24"/>
        </w:rPr>
        <w:t>Question 9: "Who did what in this project? What was each member's specific contribution?"</w:t>
      </w:r>
    </w:p>
    <w:p>
      <w:pPr>
        <w:spacing w:before="0" w:after="80" w:line="324" w:lineRule="auto"/>
      </w:pPr>
      <w:r>
        <w:rPr>
          <w:rFonts w:ascii="Times New Roman" w:hAnsi="Times New Roman"/>
          <w:b w:val="0"/>
          <w:i/>
          <w:sz w:val="22"/>
        </w:rPr>
        <w:t>(Practice this so every member speaks confidently)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Ude Justine Onyedika (2022/244096):</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"I served as the Lead Systems Analyst. I conducted the system study at UNN, formulated the statement of problem, researched existing literature, designed the survey analysis, and modeled the initial UML diagrams including Use Case and Sequence diagrams."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Udebuani Daniel Uchechukwu (2022/249081):</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"I served as the Lead Backend &amp; Database Architect. I designed the 12 relational database schemas in PostgreSQL, implemented the Row-Level Security policies in Supabase, wrote the distributed inter-departmental routing logic, and built the complaint dispute resolution module."</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Udebuani Somto Sixtus (2022/246656):</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"I served as the Frontend &amp; Testing Engineer. I implemented the Next.js and Tailwind responsive interfaces, integrated SheetJS for automated CA Excel parsing, developed the NUC 5.0 CGPA calculation engine, and executed the comprehensive software test suite from TC-01 to TC-07."</w:t>
            </w:r>
          </w:p>
        </w:tc>
      </w:tr>
    </w:tbl>
    <w:p>
      <w:pPr>
        <w:spacing w:after="80"/>
      </w:pPr>
    </w:p>
    <w:p>
      <w:pPr>
        <w:spacing w:before="80" w:after="80"/>
      </w:pPr>
      <w:r>
        <w:rPr>
          <w:color w:val="CBD5E1"/>
        </w:rPr>
        <w:t>_______________________________________________________________________________</w:t>
      </w:r>
    </w:p>
    <w:p>
      <w:pPr>
        <w:keepNext/>
        <w:spacing w:before="200" w:after="60"/>
      </w:pPr>
      <w:r>
        <w:rPr>
          <w:rFonts w:ascii="Times New Roman" w:hAnsi="Times New Roman"/>
          <w:b/>
          <w:i w:val="0"/>
          <w:color w:val="0F172A"/>
          <w:sz w:val="24"/>
        </w:rPr>
        <w:t>Question 10: "If the Vice-Chancellor approves this system tomorrow, can it handle 40,000 students at UNN? How would you scale it?"</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i/>
                <w:color w:val="0F172A"/>
                <w:sz w:val="21"/>
              </w:rPr>
              <w:t>Model Answer:</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*"Yes, sir. The system was designed from inception for horizontal scalability:</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1. </w:t>
            </w:r>
            <w:r>
              <w:rPr>
                <w:rFonts w:ascii="Times New Roman" w:hAnsi="Times New Roman"/>
                <w:b/>
                <w:i/>
                <w:color w:val="0F172A"/>
                <w:sz w:val="21"/>
              </w:rPr>
              <w:t>Stateless Frontend:</w:t>
            </w:r>
            <w:r>
              <w:rPr>
                <w:rFonts w:ascii="Times New Roman" w:hAnsi="Times New Roman"/>
                <w:b w:val="0"/>
                <w:i/>
                <w:color w:val="0F172A"/>
                <w:sz w:val="21"/>
              </w:rPr>
              <w:t xml:space="preserve"> The Next.js frontend is stateless and can be deployed across edge CDN nodes (e.g., Vercel or university servers with Nginx load balancers).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2. </w:t>
            </w:r>
            <w:r>
              <w:rPr>
                <w:rFonts w:ascii="Times New Roman" w:hAnsi="Times New Roman"/>
                <w:b/>
                <w:i/>
                <w:color w:val="0F172A"/>
                <w:sz w:val="21"/>
              </w:rPr>
              <w:t>Database Connection Pooling:</w:t>
            </w:r>
            <w:r>
              <w:rPr>
                <w:rFonts w:ascii="Times New Roman" w:hAnsi="Times New Roman"/>
                <w:b w:val="0"/>
                <w:i/>
                <w:color w:val="0F172A"/>
                <w:sz w:val="21"/>
              </w:rPr>
              <w:t xml:space="preserve"> Supabase PostgreSQL utilizes Supavisor for connection pooling, comfortably sustaining tens of thousands of concurrent read requests on score release days.</w:t>
            </w:r>
          </w:p>
        </w:tc>
      </w:tr>
    </w:tbl>
    <w:p>
      <w:pPr>
        <w:spacing w:after="80"/>
      </w:pP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none"/>
              <w:bottom w:val="none"/>
              <w:left w:val="single" w:sz="24" w:space="0" w:color="2563EB"/>
              <w:right w:val="none"/>
            </w:tcBorders>
          </w:tcPr>
          <w:p>
            <w:pPr>
              <w:spacing w:before="0" w:after="0" w:line="300" w:lineRule="auto"/>
            </w:pPr>
            <w:r>
              <w:rPr>
                <w:rFonts w:ascii="Times New Roman" w:hAnsi="Times New Roman"/>
                <w:b w:val="0"/>
                <w:i/>
                <w:color w:val="0F172A"/>
                <w:sz w:val="21"/>
              </w:rPr>
              <w:t xml:space="preserve">3. </w:t>
            </w:r>
            <w:r>
              <w:rPr>
                <w:rFonts w:ascii="Times New Roman" w:hAnsi="Times New Roman"/>
                <w:b/>
                <w:i/>
                <w:color w:val="0F172A"/>
                <w:sz w:val="21"/>
              </w:rPr>
              <w:t>Database Indexing:</w:t>
            </w:r>
            <w:r>
              <w:rPr>
                <w:rFonts w:ascii="Times New Roman" w:hAnsi="Times New Roman"/>
                <w:b w:val="0"/>
                <w:i/>
                <w:color w:val="0F172A"/>
                <w:sz w:val="21"/>
              </w:rPr>
              <w:t xml:space="preserve"> We indexed high-traffic relational keys (</w:t>
            </w:r>
            <w:r>
              <w:rPr>
                <w:rFonts w:ascii="Consolas" w:hAnsi="Consolas"/>
                <w:b/>
                <w:color w:val="1E293B"/>
                <w:sz w:val="19"/>
              </w:rPr>
              <w:t>matric_number</w:t>
            </w:r>
            <w:r>
              <w:rPr>
                <w:rFonts w:ascii="Times New Roman" w:hAnsi="Times New Roman"/>
                <w:b w:val="0"/>
                <w:i/>
                <w:color w:val="0F172A"/>
                <w:sz w:val="21"/>
              </w:rPr>
              <w:t xml:space="preserve">, </w:t>
            </w:r>
            <w:r>
              <w:rPr>
                <w:rFonts w:ascii="Consolas" w:hAnsi="Consolas"/>
                <w:b/>
                <w:color w:val="1E293B"/>
                <w:sz w:val="19"/>
              </w:rPr>
              <w:t>course_id</w:t>
            </w:r>
            <w:r>
              <w:rPr>
                <w:rFonts w:ascii="Times New Roman" w:hAnsi="Times New Roman"/>
                <w:b w:val="0"/>
                <w:i/>
                <w:color w:val="0F172A"/>
                <w:sz w:val="21"/>
              </w:rPr>
              <w:t xml:space="preserve">, </w:t>
            </w:r>
            <w:r>
              <w:rPr>
                <w:rFonts w:ascii="Consolas" w:hAnsi="Consolas"/>
                <w:b/>
                <w:color w:val="1E293B"/>
                <w:sz w:val="19"/>
              </w:rPr>
              <w:t>department_id</w:t>
            </w:r>
            <w:r>
              <w:rPr>
                <w:rFonts w:ascii="Times New Roman" w:hAnsi="Times New Roman"/>
                <w:b w:val="0"/>
                <w:i/>
                <w:color w:val="0F172A"/>
                <w:sz w:val="21"/>
              </w:rPr>
              <w:t xml:space="preserve">, and </w:t>
            </w:r>
            <w:r>
              <w:rPr>
                <w:rFonts w:ascii="Consolas" w:hAnsi="Consolas"/>
                <w:b/>
                <w:color w:val="1E293B"/>
                <w:sz w:val="19"/>
              </w:rPr>
              <w:t>session</w:t>
            </w:r>
            <w:r>
              <w:rPr>
                <w:rFonts w:ascii="Times New Roman" w:hAnsi="Times New Roman"/>
                <w:b w:val="0"/>
                <w:i/>
                <w:color w:val="0F172A"/>
                <w:sz w:val="21"/>
              </w:rPr>
              <w:t>), keeping query retrieval times under 15 milliseconds even with hundreds of thousands of enrollment records."*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