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E3A8A"/>
          <w:sz w:val="32"/>
        </w:rPr>
        <w:t>PLAIN-ENGLISH DEFENSE CHEAT SHEET &amp; TALKING POINTS</w:t>
      </w:r>
    </w:p>
    <w:p>
      <w:pPr>
        <w:spacing w:after="240"/>
        <w:jc w:val="center"/>
      </w:pPr>
      <w:r>
        <w:rPr>
          <w:rFonts w:ascii="Arial" w:hAnsi="Arial"/>
          <w:color w:val="64748B"/>
          <w:sz w:val="20"/>
        </w:rPr>
        <w:t>B.Sc. Computer Science Final Defense | UNN | Supervisor: Mr. S.B. Ponsak | HOD: Dr. Ugwuishi</w:t>
        <w:br/>
        <w:t>Presenters: Ude Justine, Udebuani Daniel, Udebuani Somto</w:t>
      </w:r>
    </w:p>
    <w:p>
      <w:pPr>
        <w:keepNext/>
        <w:spacing w:before="200" w:after="80"/>
      </w:pPr>
      <w:r>
        <w:rPr>
          <w:rFonts w:ascii="Arial" w:hAnsi="Arial"/>
          <w:b/>
          <w:color w:val="0F172A"/>
          <w:sz w:val="25"/>
        </w:rPr>
        <w:t>1. THE 30-SECOND ELEVATOR PITCH (HOW TO EXPLAIN YOUR ENTIRE PROJECT)</w:t>
      </w: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none"/>
              <w:bottom w:val="none"/>
              <w:left w:val="single" w:sz="24" w:space="0" w:color="2563EB"/>
              <w:right w:val="none"/>
            </w:tcBorders>
          </w:tcPr>
          <w:p>
            <w:pPr>
              <w:spacing w:before="0" w:after="40"/>
            </w:pPr>
            <w:r>
              <w:rPr>
                <w:rFonts w:ascii="Arial" w:hAnsi="Arial"/>
                <w:b/>
                <w:color w:val="2563EB"/>
                <w:sz w:val="19"/>
              </w:rPr>
              <w:t>[WHAT TO SAY:] When an examiner asks: 'In simple words, what does your project do?'</w:t>
              <w:br/>
            </w:r>
            <w:r>
              <w:rPr>
                <w:rFonts w:ascii="Arial" w:hAnsi="Arial"/>
                <w:i/>
                <w:color w:val="0F172A"/>
                <w:sz w:val="21"/>
              </w:rPr>
              <w:t>"Sir, right now in UNN, whenever Computer Science teaches a general course like COS 101 or COS 201, students from Maths, Education, and Statistics all take that exam together. The big headache is: after marking, lecturers manually separate the scores by department, print sheets of paper, and literally walk those papers to other faculty buildings. Sometimes those papers get delayed, lost, or continuous assessment scores get mixed up.</w:t>
              <w:br/>
              <w:br/>
              <w:t>Our system solves that completely. The lecturer uploads the exam and CA spreadsheet once. The system automatically splits the students into their different departments. The Computer Science HOD clicks one button to send them, the Maths HOD logs in and clicks 'Acknowledge', the Exam Officer gets a permanent backup copy, and the students see their exact grades and CGPA on their phones immediately."</w:t>
            </w:r>
          </w:p>
        </w:tc>
      </w:tr>
    </w:tbl>
    <w:p>
      <w:pPr>
        <w:spacing w:after="80"/>
      </w:pPr>
    </w:p>
    <w:p>
      <w:pPr>
        <w:keepNext/>
        <w:spacing w:before="200" w:after="80"/>
      </w:pPr>
      <w:r>
        <w:rPr>
          <w:rFonts w:ascii="Arial" w:hAnsi="Arial"/>
          <w:b/>
          <w:color w:val="0F172A"/>
          <w:sz w:val="25"/>
        </w:rPr>
        <w:t>2. HOW TO ANSWER TRICKY QUESTIONS IN PLAIN ENGLISH</w:t>
      </w: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none"/>
              <w:bottom w:val="none"/>
              <w:left w:val="single" w:sz="24" w:space="0" w:color="2563EB"/>
              <w:right w:val="none"/>
            </w:tcBorders>
          </w:tcPr>
          <w:p>
            <w:pPr>
              <w:spacing w:before="0" w:after="40"/>
            </w:pPr>
            <w:r>
              <w:rPr>
                <w:rFonts w:ascii="Arial" w:hAnsi="Arial"/>
                <w:b/>
                <w:color w:val="2563EB"/>
                <w:sz w:val="19"/>
              </w:rPr>
              <w:t>[PLAIN ANSWER:] Question 1: 'What makes your system DISTRIBUTED? Isn't it just a website on Supabase?'</w:t>
              <w:br/>
            </w:r>
            <w:r>
              <w:rPr>
                <w:rFonts w:ascii="Arial" w:hAnsi="Arial"/>
                <w:i/>
                <w:color w:val="0F172A"/>
                <w:sz w:val="21"/>
              </w:rPr>
              <w:t>"It is distributed because authority is divided among departments, not dumped in one central office. Computer Science can only control their own course. Once they dispatch COS 101, the system routes Maths students to the Maths HOD and VTE students to the VTE HOD. Each HOD must independently sign off on their own students. It mimics how real university departments communicate, but digitally."</w:t>
            </w:r>
          </w:p>
        </w:tc>
      </w:tr>
    </w:tbl>
    <w:p>
      <w:pPr>
        <w:spacing w:after="80"/>
      </w:pP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none"/>
              <w:bottom w:val="none"/>
              <w:left w:val="single" w:sz="24" w:space="0" w:color="2563EB"/>
              <w:right w:val="none"/>
            </w:tcBorders>
          </w:tcPr>
          <w:p>
            <w:pPr>
              <w:spacing w:before="0" w:after="40"/>
            </w:pPr>
            <w:r>
              <w:rPr>
                <w:rFonts w:ascii="Arial" w:hAnsi="Arial"/>
                <w:b/>
                <w:color w:val="2563EB"/>
                <w:sz w:val="19"/>
              </w:rPr>
              <w:t>[PLAIN ANSWER:] Question 2: 'UNN already has an institutional portal. Why do we need this?'</w:t>
              <w:br/>
            </w:r>
            <w:r>
              <w:rPr>
                <w:rFonts w:ascii="Arial" w:hAnsi="Arial"/>
                <w:i/>
                <w:color w:val="0F172A"/>
                <w:sz w:val="21"/>
              </w:rPr>
              <w:t>"The UNN portal handles school fees and course registration, but it completely ignores the headache between departments. It doesn't help a lecturer upload an Excel sheet and automatically separate Maths students from Computer Science students, nor does it let HODs formally acknowledge receipt of service courses. That is the specific gap our project fills."</w:t>
            </w:r>
          </w:p>
        </w:tc>
      </w:tr>
    </w:tbl>
    <w:p>
      <w:pPr>
        <w:spacing w:after="80"/>
      </w:pP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none"/>
              <w:bottom w:val="none"/>
              <w:left w:val="single" w:sz="24" w:space="0" w:color="2563EB"/>
              <w:right w:val="none"/>
            </w:tcBorders>
          </w:tcPr>
          <w:p>
            <w:pPr>
              <w:spacing w:before="0" w:after="40"/>
            </w:pPr>
            <w:r>
              <w:rPr>
                <w:rFonts w:ascii="Arial" w:hAnsi="Arial"/>
                <w:b/>
                <w:color w:val="2563EB"/>
                <w:sz w:val="19"/>
              </w:rPr>
              <w:t>[PLAIN ANSWER:] Question 3: 'What is Table 12 (Complaints) for?'</w:t>
              <w:br/>
            </w:r>
            <w:r>
              <w:rPr>
                <w:rFonts w:ascii="Arial" w:hAnsi="Arial"/>
                <w:i/>
                <w:color w:val="0F172A"/>
                <w:sz w:val="21"/>
              </w:rPr>
              <w:t>"Every semester students complain about missing CA scores or calculation mistakes, and they have to run around looking for lecturers for weeks. We added a complaint button directly inside the student portal. A student clicks 'Lodge Complaint', picks the course, and explains the issue. The HOD and Exam Officer see it on their screen, check the original upload record, fix the mistake, and resolve it on the spot."</w:t>
            </w:r>
          </w:p>
        </w:tc>
      </w:tr>
    </w:tbl>
    <w:p>
      <w:pPr>
        <w:spacing w:after="80"/>
      </w:pP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none"/>
              <w:bottom w:val="none"/>
              <w:left w:val="single" w:sz="24" w:space="0" w:color="2563EB"/>
              <w:right w:val="none"/>
            </w:tcBorders>
          </w:tcPr>
          <w:p>
            <w:pPr>
              <w:spacing w:before="0" w:after="40"/>
            </w:pPr>
            <w:r>
              <w:rPr>
                <w:rFonts w:ascii="Arial" w:hAnsi="Arial"/>
                <w:b/>
                <w:color w:val="2563EB"/>
                <w:sz w:val="19"/>
              </w:rPr>
              <w:t>[PLAIN ANSWER:] Question 4: 'How is CGPA computed under NUC 5.0?'</w:t>
              <w:br/>
            </w:r>
            <w:r>
              <w:rPr>
                <w:rFonts w:ascii="Arial" w:hAnsi="Arial"/>
                <w:i/>
                <w:color w:val="0F172A"/>
                <w:sz w:val="21"/>
              </w:rPr>
              <w:t>"We used the official NUC 5-point scale: Score 70+ is A (5 pts), 60-69 is B (4 pts), 50-59 is C (3 pts), 45-49 is D (2 pts), and 0-44 is F (0 pts). You multiply the grade point by the course credit units to get Quality Points, add them all up, and divide by total credit units. The system computes both Semester GPA and Cumulative CGPA automatically with zero rounding mistakes."</w:t>
            </w:r>
          </w:p>
        </w:tc>
      </w:tr>
    </w:tbl>
    <w:p>
      <w:pPr>
        <w:spacing w:after="80"/>
      </w:pPr>
    </w:p>
    <w:p>
      <w:pPr>
        <w:keepNext/>
        <w:spacing w:before="200" w:after="80"/>
      </w:pPr>
      <w:r>
        <w:rPr>
          <w:rFonts w:ascii="Arial" w:hAnsi="Arial"/>
          <w:b/>
          <w:color w:val="0F172A"/>
          <w:sz w:val="25"/>
        </w:rPr>
        <w:t>3. WHAT TO SAY DURING THE 3-MINUTE LIVE DEMO</w:t>
      </w: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none"/>
              <w:bottom w:val="none"/>
              <w:left w:val="single" w:sz="24" w:space="0" w:color="2563EB"/>
              <w:right w:val="none"/>
            </w:tcBorders>
          </w:tcPr>
          <w:p>
            <w:pPr>
              <w:spacing w:before="0" w:after="40"/>
            </w:pPr>
            <w:r>
              <w:rPr>
                <w:rFonts w:ascii="Arial" w:hAnsi="Arial"/>
                <w:b/>
                <w:color w:val="2563EB"/>
                <w:sz w:val="19"/>
              </w:rPr>
              <w:t>[DEMO CUE:] Step 1: Login Page Quick Role Switcher</w:t>
              <w:br/>
            </w:r>
            <w:r>
              <w:rPr>
                <w:rFonts w:ascii="Arial" w:hAnsi="Arial"/>
                <w:i/>
                <w:color w:val="0F172A"/>
                <w:sz w:val="21"/>
              </w:rPr>
              <w:t>"Here is our login screen. We built a quick evaluation drawer so you can easily switch between Lecturer, HOD, Exam Officer, and Student roles during evaluation."</w:t>
            </w:r>
          </w:p>
        </w:tc>
      </w:tr>
    </w:tbl>
    <w:p>
      <w:pPr>
        <w:spacing w:after="80"/>
      </w:pP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none"/>
              <w:bottom w:val="none"/>
              <w:left w:val="single" w:sz="24" w:space="0" w:color="2563EB"/>
              <w:right w:val="none"/>
            </w:tcBorders>
          </w:tcPr>
          <w:p>
            <w:pPr>
              <w:spacing w:before="0" w:after="40"/>
            </w:pPr>
            <w:r>
              <w:rPr>
                <w:rFonts w:ascii="Arial" w:hAnsi="Arial"/>
                <w:b/>
                <w:color w:val="2563EB"/>
                <w:sz w:val="19"/>
              </w:rPr>
              <w:t>[DEMO CUE:] Step 2: Lecturer Course Isolation &amp; CA Upload</w:t>
              <w:br/>
            </w:r>
            <w:r>
              <w:rPr>
                <w:rFonts w:ascii="Arial" w:hAnsi="Arial"/>
                <w:i/>
                <w:color w:val="0F172A"/>
                <w:sz w:val="21"/>
              </w:rPr>
              <w:t>"Notice that Dr. Aminu only sees COS 101 and cannot touch any other course. He uploads the CA Excel file, and the system automatically matches each student's score by their registration number."</w:t>
            </w:r>
          </w:p>
        </w:tc>
      </w:tr>
    </w:tbl>
    <w:p>
      <w:pPr>
        <w:spacing w:after="80"/>
      </w:pP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none"/>
              <w:bottom w:val="none"/>
              <w:left w:val="single" w:sz="24" w:space="0" w:color="2563EB"/>
              <w:right w:val="none"/>
            </w:tcBorders>
          </w:tcPr>
          <w:p>
            <w:pPr>
              <w:spacing w:before="0" w:after="40"/>
            </w:pPr>
            <w:r>
              <w:rPr>
                <w:rFonts w:ascii="Arial" w:hAnsi="Arial"/>
                <w:b/>
                <w:color w:val="2563EB"/>
                <w:sz w:val="19"/>
              </w:rPr>
              <w:t>[DEMO CUE:] Step 3: Sending HOD Distribution</w:t>
              <w:br/>
            </w:r>
            <w:r>
              <w:rPr>
                <w:rFonts w:ascii="Arial" w:hAnsi="Arial"/>
                <w:i/>
                <w:color w:val="0F172A"/>
                <w:sz w:val="21"/>
              </w:rPr>
              <w:t>"The Computer Science HOD logs in. He reviews the merged scores and clicks 'Distribute Results'. The system separates the cohort by department in one second."</w:t>
            </w:r>
          </w:p>
        </w:tc>
      </w:tr>
    </w:tbl>
    <w:p>
      <w:pPr>
        <w:spacing w:after="80"/>
      </w:pP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none"/>
              <w:bottom w:val="none"/>
              <w:left w:val="single" w:sz="24" w:space="0" w:color="2563EB"/>
              <w:right w:val="none"/>
            </w:tcBorders>
          </w:tcPr>
          <w:p>
            <w:pPr>
              <w:spacing w:before="0" w:after="40"/>
            </w:pPr>
            <w:r>
              <w:rPr>
                <w:rFonts w:ascii="Arial" w:hAnsi="Arial"/>
                <w:b/>
                <w:color w:val="2563EB"/>
                <w:sz w:val="19"/>
              </w:rPr>
              <w:t>[DEMO CUE:] Step 4: Receiving HOD &amp; Exam Officer Acknowledgement</w:t>
              <w:br/>
            </w:r>
            <w:r>
              <w:rPr>
                <w:rFonts w:ascii="Arial" w:hAnsi="Arial"/>
                <w:i/>
                <w:color w:val="0F172A"/>
                <w:sz w:val="21"/>
              </w:rPr>
              <w:t>"The Maths HOD logs in, sees his own Maths students, and clicks 'Acknowledge Receipt'. Simultaneously, the Central Exam Officer inspects the master copy and clicks 'Acknowledge Archival Copy'."</w:t>
            </w:r>
          </w:p>
        </w:tc>
      </w:tr>
    </w:tbl>
    <w:p>
      <w:pPr>
        <w:spacing w:after="80"/>
      </w:pP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none"/>
              <w:bottom w:val="none"/>
              <w:left w:val="single" w:sz="24" w:space="0" w:color="2563EB"/>
              <w:right w:val="none"/>
            </w:tcBorders>
          </w:tcPr>
          <w:p>
            <w:pPr>
              <w:spacing w:before="0" w:after="40"/>
            </w:pPr>
            <w:r>
              <w:rPr>
                <w:rFonts w:ascii="Arial" w:hAnsi="Arial"/>
                <w:b/>
                <w:color w:val="2563EB"/>
                <w:sz w:val="19"/>
              </w:rPr>
              <w:t>[DEMO CUE:] Step 5: Student Result Slip &amp; Complaint</w:t>
              <w:br/>
            </w:r>
            <w:r>
              <w:rPr>
                <w:rFonts w:ascii="Arial" w:hAnsi="Arial"/>
                <w:i/>
                <w:color w:val="0F172A"/>
                <w:sz w:val="21"/>
              </w:rPr>
              <w:t>"The student logs in with their reg number. They see their statement of result, their semester GPA, their cumulative CGPA badge, and can click 'Lodge Complaint' if they ever spot an issue."</w:t>
            </w:r>
          </w:p>
        </w:tc>
      </w:tr>
    </w:tbl>
    <w:p>
      <w:pPr>
        <w:spacing w:after="80"/>
      </w:pPr>
    </w:p>
    <w:p>
      <w:pPr>
        <w:keepNext/>
        <w:spacing w:before="200" w:after="80"/>
      </w:pPr>
      <w:r>
        <w:rPr>
          <w:rFonts w:ascii="Arial" w:hAnsi="Arial"/>
          <w:b/>
          <w:color w:val="0F172A"/>
          <w:sz w:val="25"/>
        </w:rPr>
        <w:t>4. WHO DID WHAT (EACH MEMBER'S ANSWER)</w:t>
      </w: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none"/>
              <w:bottom w:val="none"/>
              <w:left w:val="single" w:sz="24" w:space="0" w:color="2563EB"/>
              <w:right w:val="none"/>
            </w:tcBorders>
          </w:tcPr>
          <w:p>
            <w:pPr>
              <w:spacing w:before="0" w:after="40"/>
            </w:pPr>
            <w:r>
              <w:rPr>
                <w:rFonts w:ascii="Arial" w:hAnsi="Arial"/>
                <w:b/>
                <w:color w:val="2563EB"/>
                <w:sz w:val="19"/>
              </w:rPr>
              <w:t>[INDIVIDUAL ROLE:] Ude Justine Onyedika (Lead Systems Analyst):</w:t>
              <w:br/>
            </w:r>
            <w:r>
              <w:rPr>
                <w:rFonts w:ascii="Arial" w:hAnsi="Arial"/>
                <w:i/>
                <w:color w:val="0F172A"/>
                <w:sz w:val="21"/>
              </w:rPr>
              <w:t>"I focused on the research and requirements at UNN—studying how departments currently handle service courses manually, writing the problem statement, and designing the workflow diagrams."</w:t>
            </w:r>
          </w:p>
        </w:tc>
      </w:tr>
    </w:tbl>
    <w:p>
      <w:pPr>
        <w:spacing w:after="80"/>
      </w:pP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none"/>
              <w:bottom w:val="none"/>
              <w:left w:val="single" w:sz="24" w:space="0" w:color="2563EB"/>
              <w:right w:val="none"/>
            </w:tcBorders>
          </w:tcPr>
          <w:p>
            <w:pPr>
              <w:spacing w:before="0" w:after="40"/>
            </w:pPr>
            <w:r>
              <w:rPr>
                <w:rFonts w:ascii="Arial" w:hAnsi="Arial"/>
                <w:b/>
                <w:color w:val="2563EB"/>
                <w:sz w:val="19"/>
              </w:rPr>
              <w:t>[INDIVIDUAL ROLE:] Udebuani Daniel Uchechukwu (Lead Backend &amp; Database Architect):</w:t>
              <w:br/>
            </w:r>
            <w:r>
              <w:rPr>
                <w:rFonts w:ascii="Arial" w:hAnsi="Arial"/>
                <w:i/>
                <w:color w:val="0F172A"/>
                <w:sz w:val="21"/>
              </w:rPr>
              <w:t>"I worked on the backend and database—setting up the 12 tables in Supabase PostgreSQL, making sure lecturers can only see their own courses, and building the inter-departmental distribution logic."</w:t>
            </w:r>
          </w:p>
        </w:tc>
      </w:tr>
    </w:tbl>
    <w:p>
      <w:pPr>
        <w:spacing w:after="80"/>
      </w:pPr>
    </w:p>
    <w:tbl>
      <w:tblPr>
        <w:tblW w:type="auto" w:w="0"/>
        <w:jc w:val="center"/>
        <w:tblLook w:firstColumn="1" w:firstRow="1" w:lastColumn="0" w:lastRow="0" w:noHBand="0" w:noVBand="1" w:val="04A0"/>
      </w:tblPr>
      <w:tblGrid>
        <w:gridCol w:w="9648"/>
      </w:tblGrid>
      <w:tr>
        <w:tc>
          <w:tcPr>
            <w:tcW w:type="dxa" w:w="9648"/>
            <w:shd w:fill="F8FAFC"/>
            <w:tcMar>
              <w:top w:w="80" w:type="dxa"/>
              <w:bottom w:w="80" w:type="dxa"/>
              <w:left w:w="120" w:type="dxa"/>
              <w:right w:w="120" w:type="dxa"/>
            </w:tcMar>
            <w:tcBorders>
              <w:top w:val="none"/>
              <w:bottom w:val="none"/>
              <w:left w:val="single" w:sz="24" w:space="0" w:color="2563EB"/>
              <w:right w:val="none"/>
            </w:tcBorders>
          </w:tcPr>
          <w:p>
            <w:pPr>
              <w:spacing w:before="0" w:after="40"/>
            </w:pPr>
            <w:r>
              <w:rPr>
                <w:rFonts w:ascii="Arial" w:hAnsi="Arial"/>
                <w:b/>
                <w:color w:val="2563EB"/>
                <w:sz w:val="19"/>
              </w:rPr>
              <w:t>[INDIVIDUAL ROLE:] Udebuani Somto Sixtus (Frontend &amp; Testing Engineer):</w:t>
              <w:br/>
            </w:r>
            <w:r>
              <w:rPr>
                <w:rFonts w:ascii="Arial" w:hAnsi="Arial"/>
                <w:i/>
                <w:color w:val="0F172A"/>
                <w:sz w:val="21"/>
              </w:rPr>
              <w:t>"I handled the frontend and testing—building the user screens in Next.js, integrating the Excel file upload with SheetJS, programming the NUC 5.0 CGPA math, and running all our test cases."</w:t>
            </w:r>
          </w:p>
        </w:tc>
      </w:tr>
    </w:tbl>
    <w:p>
      <w:pPr>
        <w:spacing w:after="8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