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55b3129c5b55889a4f468b86bc1c0d03046c6f"/>
    <w:p>
      <w:pPr>
        <w:pStyle w:val="Heading1"/>
      </w:pPr>
      <w:r>
        <w:t xml:space="preserve">SGLang Layerwise Offloading Analysis: Wan2.2 Video Generation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2026</w:t>
      </w:r>
      <w:r>
        <w:t xml:space="preserve"> </w:t>
      </w:r>
      <w:r>
        <w:rPr>
          <w:b/>
          <w:bCs/>
        </w:rPr>
        <w:t xml:space="preserve">Hardware:</w:t>
      </w:r>
      <w:r>
        <w:t xml:space="preserve"> </w:t>
      </w:r>
      <w:r>
        <w:t xml:space="preserve">ACES cluster, 4x/6x H100 PCIe GPUs, 488GB RAM</w:t>
      </w:r>
      <w:r>
        <w:t xml:space="preserve"> </w:t>
      </w:r>
      <w:r>
        <w:rPr>
          <w:b/>
          <w:bCs/>
        </w:rPr>
        <w:t xml:space="preserve">Software:</w:t>
      </w:r>
      <w:r>
        <w:t xml:space="preserve"> </w:t>
      </w:r>
      <w:r>
        <w:t xml:space="preserve">SGLang (PR #15511), Wan2.2-T2V-A14B-Diffusers (dual 14B transformers)</w:t>
      </w:r>
    </w:p>
    <w:p>
      <w:r>
        <w:pict>
          <v:rect style="width:0;height:1.5pt" o:hralign="center" o:hrstd="t" o:hr="t"/>
        </w:pict>
      </w:r>
    </w:p>
    <w:bookmarkStart w:id="9" w:name="background"/>
    <w:p>
      <w:pPr>
        <w:pStyle w:val="Heading2"/>
      </w:pPr>
      <w:r>
        <w:t xml:space="preserve">1. Background</w:t>
      </w:r>
    </w:p>
    <w:p>
      <w:pPr>
        <w:pStyle w:val="FirstParagraph"/>
      </w:pPr>
      <w:r>
        <w:t xml:space="preserve">SGLang PR #15511 introduces a new</w:t>
      </w:r>
      <w:r>
        <w:t xml:space="preserve"> </w:t>
      </w:r>
      <w:r>
        <w:rPr>
          <w:b/>
          <w:bCs/>
        </w:rPr>
        <w:t xml:space="preserve">layerwise offloading</w:t>
      </w:r>
      <w:r>
        <w:t xml:space="preserve"> </w:t>
      </w:r>
      <w:r>
        <w:t xml:space="preserve">strategy (</w:t>
      </w:r>
      <w:r>
        <w:rPr>
          <w:rStyle w:val="VerbatimChar"/>
        </w:rPr>
        <w:t xml:space="preserve">dit_layerwise_offload</w:t>
      </w:r>
      <w:r>
        <w:t xml:space="preserve">) for video diffusion models. We evaluated it against the existing</w:t>
      </w:r>
      <w:r>
        <w:t xml:space="preserve"> </w:t>
      </w:r>
      <w:r>
        <w:rPr>
          <w:b/>
          <w:bCs/>
        </w:rPr>
        <w:t xml:space="preserve">full-model offloading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dit_cpu_offload</w:t>
      </w:r>
      <w:r>
        <w:t xml:space="preserve">) to understand the performance tradeoffs on PCIe-based GPU systems.</w:t>
      </w:r>
    </w:p>
    <w:p>
      <w:pPr>
        <w:pStyle w:val="BodyText"/>
      </w:pPr>
      <w:r>
        <w:t xml:space="preserve">Wan2.2-T2V-A14B uses two 14B-parameter transformers in a mixture-of-experts (MoE) configuration at the timestep level: one processes high-noise steps, the other handles low-noise steps. During a 27-step denoising run, the model switches from one transformer to the other at a boundary determined by</w:t>
      </w:r>
      <w:r>
        <w:t xml:space="preserve"> </w:t>
      </w:r>
      <w:r>
        <w:rPr>
          <w:rStyle w:val="VerbatimChar"/>
        </w:rPr>
        <w:t xml:space="preserve">flow_shift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boundary_ratio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3" w:name="how-the-two-offload-strategies-work"/>
    <w:p>
      <w:pPr>
        <w:pStyle w:val="Heading2"/>
      </w:pPr>
      <w:r>
        <w:t xml:space="preserve">2. How the Two Offload Strategies Work</w:t>
      </w:r>
    </w:p>
    <w:p>
      <w:pPr>
        <w:pStyle w:val="FirstParagraph"/>
      </w:pPr>
      <w:r>
        <w:t xml:space="preserve">We verified both implementations directly from source code with line-number citations.</w:t>
      </w:r>
    </w:p>
    <w:bookmarkStart w:id="10" w:name="full-model-offload-old"/>
    <w:p>
      <w:pPr>
        <w:pStyle w:val="Heading3"/>
      </w:pPr>
      <w:r>
        <w:t xml:space="preserve">Full-Model Offload (Old)</w:t>
      </w:r>
    </w:p>
    <w:p>
      <w:pPr>
        <w:pStyle w:val="Compact"/>
        <w:numPr>
          <w:ilvl w:val="0"/>
          <w:numId w:val="1001"/>
        </w:numPr>
      </w:pPr>
      <w:r>
        <w:t xml:space="preserve">Transfers the</w:t>
      </w:r>
      <w:r>
        <w:t xml:space="preserve"> </w:t>
      </w:r>
      <w:r>
        <w:rPr>
          <w:b/>
          <w:bCs/>
        </w:rPr>
        <w:t xml:space="preserve">entire transformer</w:t>
      </w:r>
      <w:r>
        <w:t xml:space="preserve"> </w:t>
      </w:r>
      <w:r>
        <w:t xml:space="preserve">(~28GB) between CPU and GPU using blocking</w:t>
      </w:r>
      <w:r>
        <w:t xml:space="preserve"> </w:t>
      </w:r>
      <w:r>
        <w:rPr>
          <w:rStyle w:val="VerbatimChar"/>
        </w:rPr>
        <w:t xml:space="preserve">.to(device)</w:t>
      </w:r>
      <w:r>
        <w:t xml:space="preserve"> </w:t>
      </w:r>
      <w:r>
        <w:t xml:space="preserve">calls</w:t>
      </w:r>
    </w:p>
    <w:p>
      <w:pPr>
        <w:pStyle w:val="Compact"/>
        <w:numPr>
          <w:ilvl w:val="0"/>
          <w:numId w:val="1001"/>
        </w:numPr>
      </w:pPr>
      <w:r>
        <w:t xml:space="preserve">At the transformer switch point, the active model moves to CPU and the other moves to GPU</w:t>
      </w:r>
    </w:p>
    <w:p>
      <w:pPr>
        <w:pStyle w:val="Compact"/>
        <w:numPr>
          <w:ilvl w:val="0"/>
          <w:numId w:val="1001"/>
        </w:numPr>
      </w:pPr>
      <w:r>
        <w:t xml:space="preserve">Uses PyTorch FSDP</w:t>
      </w:r>
      <w:r>
        <w:t xml:space="preserve"> </w:t>
      </w:r>
      <w:r>
        <w:rPr>
          <w:rStyle w:val="VerbatimChar"/>
        </w:rPr>
        <w:t xml:space="preserve">CPUOffloadPolicy</w:t>
      </w:r>
      <w:r>
        <w:t xml:space="preserve"> </w:t>
      </w:r>
      <w:r>
        <w:t xml:space="preserve">for automatic weight management</w:t>
      </w:r>
    </w:p>
    <w:p>
      <w:pPr>
        <w:pStyle w:val="Compact"/>
        <w:numPr>
          <w:ilvl w:val="0"/>
          <w:numId w:val="1001"/>
        </w:numPr>
      </w:pPr>
      <w:r>
        <w:t xml:space="preserve">One large spike in latency at the switch point, but fast steady-state steps</w:t>
      </w:r>
    </w:p>
    <w:bookmarkEnd w:id="10"/>
    <w:bookmarkStart w:id="11" w:name="layerwise-offload-new-pr-15511"/>
    <w:p>
      <w:pPr>
        <w:pStyle w:val="Heading3"/>
      </w:pPr>
      <w:r>
        <w:t xml:space="preserve">Layerwise Offload (New, PR #15511)</w:t>
      </w:r>
    </w:p>
    <w:p>
      <w:pPr>
        <w:pStyle w:val="Compact"/>
        <w:numPr>
          <w:ilvl w:val="0"/>
          <w:numId w:val="1002"/>
        </w:numPr>
      </w:pPr>
      <w:r>
        <w:t xml:space="preserve">Transfers</w:t>
      </w:r>
      <w:r>
        <w:t xml:space="preserve"> </w:t>
      </w:r>
      <w:r>
        <w:rPr>
          <w:b/>
          <w:bCs/>
        </w:rPr>
        <w:t xml:space="preserve">one layer at a time</w:t>
      </w:r>
      <w:r>
        <w:t xml:space="preserve"> </w:t>
      </w:r>
      <w:r>
        <w:t xml:space="preserve">(~700MB) using a dedicated CUDA copy stream with async H2D prefetch</w:t>
      </w:r>
    </w:p>
    <w:p>
      <w:pPr>
        <w:pStyle w:val="Compact"/>
        <w:numPr>
          <w:ilvl w:val="0"/>
          <w:numId w:val="1002"/>
        </w:numPr>
      </w:pPr>
      <w:r>
        <w:t xml:space="preserve">CPU pinned memory buffer is the source of truth – no GPU-to-CPU (D2H) copies ever occur</w:t>
      </w:r>
    </w:p>
    <w:p>
      <w:pPr>
        <w:pStyle w:val="Compact"/>
        <w:numPr>
          <w:ilvl w:val="0"/>
          <w:numId w:val="1002"/>
        </w:numPr>
      </w:pPr>
      <w:r>
        <w:t xml:space="preserve">Pre-hooks prefetch the next layer(s) before they’re needed; post-hooks release GPU memory immediately</w:t>
      </w:r>
    </w:p>
    <w:p>
      <w:pPr>
        <w:pStyle w:val="Compact"/>
        <w:numPr>
          <w:ilvl w:val="0"/>
          <w:numId w:val="1002"/>
        </w:numPr>
      </w:pPr>
      <w:r>
        <w:t xml:space="preserve">No spike at the switch point, but adds ~2s overhead per step on our hardware</w:t>
      </w:r>
    </w:p>
    <w:bookmarkEnd w:id="11"/>
    <w:bookmarkStart w:id="12" w:name="comparison"/>
    <w:p>
      <w:pPr>
        <w:pStyle w:val="Heading3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3315"/>
        <w:gridCol w:w="3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Full-Model (Old)</w:t>
            </w:r>
          </w:p>
        </w:tc>
        <w:tc>
          <w:tcPr/>
          <w:p>
            <w:pPr>
              <w:pStyle w:val="Compact"/>
            </w:pPr>
            <w:r>
              <w:t xml:space="preserve">Layerwise (New)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granularity</w:t>
            </w:r>
          </w:p>
        </w:tc>
        <w:tc>
          <w:tcPr/>
          <w:p>
            <w:pPr>
              <w:pStyle w:val="Compact"/>
            </w:pPr>
            <w:r>
              <w:t xml:space="preserve">Entire transformer (~28GB)</w:t>
            </w:r>
          </w:p>
        </w:tc>
        <w:tc>
          <w:tcPr/>
          <w:p>
            <w:pPr>
              <w:pStyle w:val="Compact"/>
            </w:pPr>
            <w:r>
              <w:t xml:space="preserve">Per-layer (~700MB)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method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  <w:r>
              <w:t xml:space="preserve"> </w:t>
            </w:r>
            <w:r>
              <w:rPr>
                <w:rStyle w:val="VerbatimChar"/>
              </w:rPr>
              <w:t xml:space="preserve">.to()</w:t>
            </w:r>
          </w:p>
        </w:tc>
        <w:tc>
          <w:tcPr/>
          <w:p>
            <w:pPr>
              <w:pStyle w:val="Compact"/>
            </w:pPr>
            <w:r>
              <w:t xml:space="preserve">Async H2D on dedicated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GPU-to-CPU copy</w:t>
            </w:r>
          </w:p>
        </w:tc>
        <w:tc>
          <w:tcPr/>
          <w:p>
            <w:pPr>
              <w:pStyle w:val="Compact"/>
            </w:pPr>
            <w:r>
              <w:t xml:space="preserve">Yes (full model)</w:t>
            </w:r>
          </w:p>
        </w:tc>
        <w:tc>
          <w:tcPr/>
          <w:p>
            <w:pPr>
              <w:pStyle w:val="Compact"/>
            </w:pPr>
            <w:r>
              <w:t xml:space="preserve">None (CPU buffer unchanged)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VRAM</w:t>
            </w:r>
          </w:p>
        </w:tc>
        <w:tc>
          <w:tcPr/>
          <w:p>
            <w:pPr>
              <w:pStyle w:val="Compact"/>
            </w:pPr>
            <w:r>
              <w:t xml:space="preserve">~61 GB</w:t>
            </w:r>
          </w:p>
        </w:tc>
        <w:tc>
          <w:tcPr/>
          <w:p>
            <w:pPr>
              <w:pStyle w:val="Compact"/>
            </w:pPr>
            <w:r>
              <w:t xml:space="preserve">~23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 point cost</w:t>
            </w:r>
          </w:p>
        </w:tc>
        <w:tc>
          <w:tcPr/>
          <w:p>
            <w:pPr>
              <w:pStyle w:val="Compact"/>
            </w:pPr>
            <w:r>
              <w:t xml:space="preserve">~8s blocking spike</w:t>
            </w:r>
          </w:p>
        </w:tc>
        <w:tc>
          <w:tcPr/>
          <w:p>
            <w:pPr>
              <w:pStyle w:val="Compact"/>
            </w:pPr>
            <w:r>
              <w:t xml:space="preserve">No spike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Per-step overhead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~2s on PCIe hardware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Xf91011359fceb0d6b07bed28db5053b6a56293f"/>
    <w:p>
      <w:pPr>
        <w:pStyle w:val="Heading2"/>
      </w:pPr>
      <w:r>
        <w:t xml:space="preserve">3. PCIe Limitation: Why Layerwise Offload Underperforms on Our Hardware</w:t>
      </w:r>
    </w:p>
    <w:p>
      <w:pPr>
        <w:pStyle w:val="FirstParagraph"/>
      </w:pPr>
      <w:r>
        <w:t xml:space="preserve">PR #15511’s async prefetch strategy is designed to overlap data transfers with computation. This works on</w:t>
      </w:r>
      <w:r>
        <w:t xml:space="preserve"> </w:t>
      </w:r>
      <w:r>
        <w:rPr>
          <w:b/>
          <w:bCs/>
        </w:rPr>
        <w:t xml:space="preserve">NVLink systems</w:t>
      </w:r>
      <w:r>
        <w:t xml:space="preserve"> </w:t>
      </w:r>
      <w:r>
        <w:t xml:space="preserve">(like H100 SXM) where GPU-to-GPU communication (used by Ulysses sequence parallelism) travels over NVLink while CPU-to-GPU transfers use PCIe – two separate physical paths.</w:t>
      </w:r>
    </w:p>
    <w:p>
      <w:pPr>
        <w:pStyle w:val="BodyText"/>
      </w:pPr>
      <w:r>
        <w:t xml:space="preserve">On</w:t>
      </w:r>
      <w:r>
        <w:t xml:space="preserve"> </w:t>
      </w:r>
      <w:r>
        <w:rPr>
          <w:b/>
          <w:bCs/>
        </w:rPr>
        <w:t xml:space="preserve">ACES H100 PCIe</w:t>
      </w:r>
      <w:r>
        <w:t xml:space="preserve">, both GPU-GPU and CPU-GPU transfers share the same PCIe fabric (~64 GB/s unidirectional). The async prefetch cannot overlap with Ulysses all-to-all communication because they compete for the same bandwidth.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GPU-GPU Path</w:t>
            </w:r>
          </w:p>
        </w:tc>
        <w:tc>
          <w:tcPr/>
          <w:p>
            <w:pPr>
              <w:pStyle w:val="Compact"/>
            </w:pPr>
            <w:r>
              <w:t xml:space="preserve">CPU-GPU Path</w:t>
            </w:r>
          </w:p>
        </w:tc>
        <w:tc>
          <w:tcPr/>
          <w:p>
            <w:pPr>
              <w:pStyle w:val="Compact"/>
            </w:pPr>
            <w:r>
              <w:t xml:space="preserve">Can Overlap?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H100 SXM (NVLink)</w:t>
            </w:r>
          </w:p>
        </w:tc>
        <w:tc>
          <w:tcPr/>
          <w:p>
            <w:pPr>
              <w:pStyle w:val="Compact"/>
            </w:pPr>
            <w:r>
              <w:t xml:space="preserve">NVLink (900 GB/s)</w:t>
            </w:r>
          </w:p>
        </w:tc>
        <w:tc>
          <w:tcPr/>
          <w:p>
            <w:pPr>
              <w:pStyle w:val="Compact"/>
            </w:pPr>
            <w:r>
              <w:t xml:space="preserve">PCIe (128 GB/s)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H100 PCIe (ACES)</w:t>
            </w:r>
          </w:p>
        </w:tc>
        <w:tc>
          <w:tcPr/>
          <w:p>
            <w:pPr>
              <w:pStyle w:val="Compact"/>
            </w:pPr>
            <w:r>
              <w:t xml:space="preserve">PCIe (128 GB/s)</w:t>
            </w:r>
          </w:p>
        </w:tc>
        <w:tc>
          <w:tcPr/>
          <w:p>
            <w:pPr>
              <w:pStyle w:val="Compact"/>
            </w:pPr>
            <w:r>
              <w:t xml:space="preserve">PCIe (128 GB/s)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This is likely why PR #15511’s benchmarks (run on NVLink systems) show better performance than what we observe.</w:t>
      </w:r>
    </w:p>
    <w:p>
      <w:r>
        <w:pict>
          <v:rect style="width:0;height:1.5pt" o:hralign="center" o:hrstd="t" o:hr="t"/>
        </w:pict>
      </w:r>
    </w:p>
    <w:bookmarkEnd w:id="14"/>
    <w:bookmarkStart w:id="16" w:name="preliminary-benchmark-results-4-gpus"/>
    <w:p>
      <w:pPr>
        <w:pStyle w:val="Heading2"/>
      </w:pPr>
      <w:r>
        <w:t xml:space="preserve">4. Preliminary Benchmark Results (4 GPUs)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Layerwise (New)</w:t>
            </w:r>
          </w:p>
        </w:tc>
        <w:tc>
          <w:tcPr/>
          <w:p>
            <w:pPr>
              <w:pStyle w:val="Compact"/>
            </w:pPr>
            <w:r>
              <w:t xml:space="preserve">Full-Model (Old)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time</w:t>
            </w:r>
          </w:p>
        </w:tc>
        <w:tc>
          <w:tcPr/>
          <w:p>
            <w:pPr>
              <w:pStyle w:val="Compact"/>
            </w:pPr>
            <w:r>
              <w:t xml:space="preserve">12:00</w:t>
            </w:r>
          </w:p>
        </w:tc>
        <w:tc>
          <w:tcPr/>
          <w:p>
            <w:pPr>
              <w:pStyle w:val="Compact"/>
            </w:pPr>
            <w:r>
              <w:t xml:space="preserve">11:12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Denoising time</w:t>
            </w:r>
          </w:p>
        </w:tc>
        <w:tc>
          <w:tcPr/>
          <w:p>
            <w:pPr>
              <w:pStyle w:val="Compact"/>
            </w:pPr>
            <w:r>
              <w:t xml:space="preserve">788.2s</w:t>
            </w:r>
          </w:p>
        </w:tc>
        <w:tc>
          <w:tcPr/>
          <w:p>
            <w:pPr>
              <w:pStyle w:val="Compact"/>
            </w:pPr>
            <w:r>
              <w:t xml:space="preserve">714.1s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Steady-state per step</w:t>
            </w:r>
          </w:p>
        </w:tc>
        <w:tc>
          <w:tcPr/>
          <w:p>
            <w:pPr>
              <w:pStyle w:val="Compact"/>
            </w:pPr>
            <w:r>
              <w:t xml:space="preserve">~23s</w:t>
            </w:r>
          </w:p>
        </w:tc>
        <w:tc>
          <w:tcPr/>
          <w:p>
            <w:pPr>
              <w:pStyle w:val="Compact"/>
            </w:pPr>
            <w:r>
              <w:t xml:space="preserve">~21s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 step spike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~8s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GPU memory</w:t>
            </w:r>
          </w:p>
        </w:tc>
        <w:tc>
          <w:tcPr/>
          <w:p>
            <w:pPr>
              <w:pStyle w:val="Compact"/>
            </w:pPr>
            <w:r>
              <w:t xml:space="preserve">22.88 GB</w:t>
            </w:r>
          </w:p>
        </w:tc>
        <w:tc>
          <w:tcPr/>
          <w:p>
            <w:pPr>
              <w:pStyle w:val="Compact"/>
            </w:pPr>
            <w:r>
              <w:t xml:space="preserve">61.25 GB</w:t>
            </w:r>
          </w:p>
        </w:tc>
      </w:tr>
    </w:tbl>
    <w:p>
      <w:pPr>
        <w:pStyle w:val="BodyText"/>
      </w:pPr>
      <w:r>
        <w:rPr>
          <w:b/>
          <w:bCs/>
        </w:rPr>
        <w:t xml:space="preserve">Old offload was ~7% faster on 4 GPUs</w:t>
      </w:r>
      <w:r>
        <w:t xml:space="preserve"> </w:t>
      </w:r>
      <w:r>
        <w:t xml:space="preserve">despite having a blocking transfer spike. The new offload’s per-step overhead (~2s x 26 steps = ~52s total) exceeds the old offload’s one-time spike cost.</w:t>
      </w:r>
    </w:p>
    <w:p>
      <w:pPr>
        <w:pStyle w:val="BodyText"/>
      </w:pPr>
      <w:r>
        <w:t xml:space="preserve">However, the new offload uses</w:t>
      </w:r>
      <w:r>
        <w:t xml:space="preserve"> </w:t>
      </w:r>
      <w:r>
        <w:rPr>
          <w:b/>
          <w:bCs/>
        </w:rPr>
        <w:t xml:space="preserve">2.7x less GPU memory</w:t>
      </w:r>
      <w:r>
        <w:t xml:space="preserve"> </w:t>
      </w:r>
      <w:r>
        <w:t xml:space="preserve">(23 GB vs 61 GB), which is its primary design goal for memory-constrained deployments.</w:t>
      </w:r>
    </w:p>
    <w:bookmarkStart w:id="15" w:name="caveat-config-issue-discovered"/>
    <w:p>
      <w:pPr>
        <w:pStyle w:val="Heading3"/>
      </w:pPr>
      <w:r>
        <w:t xml:space="preserve">Caveat: Config Issue Discovered</w:t>
      </w:r>
    </w:p>
    <w:p>
      <w:pPr>
        <w:pStyle w:val="FirstParagraph"/>
      </w:pPr>
      <w:r>
        <w:t xml:space="preserve">These benchmarks ran with an incorrect</w:t>
      </w:r>
      <w:r>
        <w:t xml:space="preserve"> </w:t>
      </w:r>
      <w:r>
        <w:rPr>
          <w:rStyle w:val="VerbatimChar"/>
        </w:rPr>
        <w:t xml:space="preserve">flow_shift</w:t>
      </w:r>
      <w:r>
        <w:t xml:space="preserve"> </w:t>
      </w:r>
      <w:r>
        <w:t xml:space="preserve">parameter (3.0 instead of 12.0) due to a SGLang model config resolution bug when using local model paths. This caused the transformer switch to happen at step 10 instead of the correct step 19. We are re-running benchmarks with the correct config. The 7% figure may change.</w:t>
      </w:r>
    </w:p>
    <w:p>
      <w:pPr>
        <w:pStyle w:val="BodyText"/>
      </w:pPr>
      <w:r>
        <w:t xml:space="preserve">See Section 5 for details.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config-resolution-bug-found"/>
    <w:p>
      <w:pPr>
        <w:pStyle w:val="Heading2"/>
      </w:pPr>
      <w:r>
        <w:t xml:space="preserve">5. Config Resolution Bug Found</w:t>
      </w:r>
    </w:p>
    <w:p>
      <w:pPr>
        <w:pStyle w:val="FirstParagraph"/>
      </w:pPr>
      <w:r>
        <w:t xml:space="preserve">We discovered that SGLang’s model registry does not correctly resolve local model paths for Wan2.2-A14B.</w:t>
      </w:r>
    </w:p>
    <w:p>
      <w:pPr>
        <w:pStyle w:val="BodyText"/>
      </w:pPr>
      <w:r>
        <w:rPr>
          <w:b/>
          <w:bCs/>
        </w:rPr>
        <w:t xml:space="preserve">The issue:</w:t>
      </w:r>
      <w:r>
        <w:t xml:space="preserve"> </w:t>
      </w:r>
      <w:r>
        <w:t xml:space="preserve">When using</w:t>
      </w:r>
      <w:r>
        <w:t xml:space="preserve"> </w:t>
      </w:r>
      <w:r>
        <w:rPr>
          <w:rStyle w:val="VerbatimChar"/>
        </w:rPr>
        <w:t xml:space="preserve">--model-path ./models/wan2.2</w:t>
      </w:r>
      <w:r>
        <w:t xml:space="preserve">, SGLang’s registry (</w:t>
      </w:r>
      <w:r>
        <w:rPr>
          <w:rStyle w:val="VerbatimChar"/>
        </w:rPr>
        <w:t xml:space="preserve">registry.py</w:t>
      </w:r>
      <w:r>
        <w:t xml:space="preserve">) cannot match the path to the correct</w:t>
      </w:r>
      <w:r>
        <w:t xml:space="preserve"> </w:t>
      </w:r>
      <w:r>
        <w:rPr>
          <w:rStyle w:val="VerbatimChar"/>
        </w:rPr>
        <w:t xml:space="preserve">Wan2_2_T2V_A14B_Config</w:t>
      </w:r>
      <w:r>
        <w:t xml:space="preserve"> </w:t>
      </w:r>
      <w:r>
        <w:t xml:space="preserve">class. It falls through to a generic Wan config (</w:t>
      </w:r>
      <w:r>
        <w:rPr>
          <w:rStyle w:val="VerbatimChar"/>
        </w:rPr>
        <w:t xml:space="preserve">WanT2V480PConfig</w:t>
      </w:r>
      <w:r>
        <w:t xml:space="preserve">) which sets</w:t>
      </w:r>
      <w:r>
        <w:t xml:space="preserve"> </w:t>
      </w:r>
      <w:r>
        <w:rPr>
          <w:rStyle w:val="VerbatimChar"/>
        </w:rPr>
        <w:t xml:space="preserve">flow_shift=3.0</w:t>
      </w:r>
      <w:r>
        <w:t xml:space="preserve"> </w:t>
      </w:r>
      <w:r>
        <w:t xml:space="preserve">instead of the correct</w:t>
      </w:r>
      <w:r>
        <w:t xml:space="preserve"> </w:t>
      </w:r>
      <w:r>
        <w:rPr>
          <w:rStyle w:val="VerbatimChar"/>
        </w:rPr>
        <w:t xml:space="preserve">12.0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rPr>
          <w:rStyle w:val="VerbatimChar"/>
        </w:rPr>
        <w:t xml:space="preserve">flow_shift</w:t>
      </w:r>
      <w:r>
        <w:t xml:space="preserve"> </w:t>
      </w:r>
      <w:r>
        <w:t xml:space="preserve">controls the denoising timestep schedule. With the wrong value, the transformer switch point changes: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flow_shift</w:t>
            </w:r>
          </w:p>
        </w:tc>
        <w:tc>
          <w:tcPr/>
          <w:p>
            <w:pPr>
              <w:pStyle w:val="Compact"/>
            </w:pPr>
            <w:r>
              <w:t xml:space="preserve">Switch step (out of 27)</w:t>
            </w:r>
          </w:p>
        </w:tc>
        <w:tc>
          <w:tcPr/>
          <w:p>
            <w:pPr>
              <w:pStyle w:val="Compact"/>
            </w:pPr>
            <w:r>
              <w:t xml:space="preserve">Config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 (incorrect)</w:t>
            </w:r>
          </w:p>
        </w:tc>
        <w:tc>
          <w:tcPr/>
          <w:p>
            <w:pPr>
              <w:pStyle w:val="Compact"/>
            </w:pPr>
            <w:r>
              <w:t xml:space="preserve">Step 10</w:t>
            </w:r>
          </w:p>
        </w:tc>
        <w:tc>
          <w:tcPr/>
          <w:p>
            <w:pPr>
              <w:pStyle w:val="Compact"/>
            </w:pPr>
            <w:r>
              <w:t xml:space="preserve">WanT2V480PConfig (generic)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12.0 (correct)</w:t>
            </w:r>
          </w:p>
        </w:tc>
        <w:tc>
          <w:tcPr/>
          <w:p>
            <w:pPr>
              <w:pStyle w:val="Compact"/>
            </w:pPr>
            <w:r>
              <w:t xml:space="preserve">Step 19</w:t>
            </w:r>
          </w:p>
        </w:tc>
        <w:tc>
          <w:tcPr/>
          <w:p>
            <w:pPr>
              <w:pStyle w:val="Compact"/>
            </w:pPr>
            <w:r>
              <w:t xml:space="preserve">Wan2_2_T2V_A14B_Config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Use the HuggingFace model identifier (</w:t>
      </w:r>
      <w:r>
        <w:rPr>
          <w:rStyle w:val="VerbatimChar"/>
        </w:rPr>
        <w:t xml:space="preserve">Wan-AI/Wan2.2-T2V-A14B-Diffusers</w:t>
      </w:r>
      <w:r>
        <w:t xml:space="preserve">) instead of a local directory path. This matches the exact path registered in SGLang’s config registry. All benchmark scripts have been updated.</w:t>
      </w:r>
    </w:p>
    <w:p>
      <w:r>
        <w:pict>
          <v:rect style="width:0;height:1.5pt" o:hralign="center" o:hrstd="t" o:hr="t"/>
        </w:pict>
      </w:r>
    </w:p>
    <w:bookmarkEnd w:id="17"/>
    <w:bookmarkStart w:id="18" w:name="next-steps"/>
    <w:p>
      <w:pPr>
        <w:pStyle w:val="Heading2"/>
      </w:pPr>
      <w:r>
        <w:t xml:space="preserve">6. Next Steps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Re-run benchmarks</w:t>
      </w:r>
      <w:r>
        <w:t xml:space="preserve"> </w:t>
      </w:r>
      <w:r>
        <w:t xml:space="preserve">with corrected model path (4-GPU and 6-GPU, both offload strategies)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6-GPU scaling comparison</w:t>
      </w:r>
      <w:r>
        <w:t xml:space="preserve"> </w:t>
      </w:r>
      <w:r>
        <w:t xml:space="preserve">– does layerwise offload become competitive with more GPUs?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timestep logging</w:t>
      </w:r>
      <w:r>
        <w:t xml:space="preserve"> </w:t>
      </w:r>
      <w:r>
        <w:t xml:space="preserve">to confirm correct config is loaded (</w:t>
      </w:r>
      <w:r>
        <w:rPr>
          <w:rStyle w:val="VerbatimChar"/>
        </w:rPr>
        <w:t xml:space="preserve">flow_shift=12.0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Profile PCIe bandwidth</w:t>
      </w:r>
      <w:r>
        <w:t xml:space="preserve"> </w:t>
      </w:r>
      <w:r>
        <w:t xml:space="preserve">during offload to quantify contention between Ulysses and H2D transfers</w:t>
      </w:r>
    </w:p>
    <w:p>
      <w:r>
        <w:pict>
          <v:rect style="width:0;height:1.5pt" o:hralign="center" o:hrstd="t" o:hr="t"/>
        </w:pict>
      </w:r>
    </w:p>
    <w:bookmarkEnd w:id="18"/>
    <w:bookmarkStart w:id="19" w:name="key-takeaways"/>
    <w:p>
      <w:pPr>
        <w:pStyle w:val="Heading2"/>
      </w:pPr>
      <w:r>
        <w:t xml:space="preserve">7. Key Takeaways</w:t>
      </w:r>
    </w:p>
    <w:p>
      <w:pPr>
        <w:pStyle w:val="Compact"/>
        <w:numPr>
          <w:ilvl w:val="0"/>
          <w:numId w:val="1004"/>
        </w:numPr>
      </w:pPr>
      <w:r>
        <w:t xml:space="preserve">Layerwise offloading (PR #15511) trades speed for memory – 2.7x less VRAM but ~7% slower on 4 PCIe GPUs (pending re-validation)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t xml:space="preserve">“zero-cost”</w:t>
      </w:r>
      <w:r>
        <w:t xml:space="preserve"> </w:t>
      </w:r>
      <w:r>
        <w:t xml:space="preserve">prefetch claim requires NVLink for compute/transfer overlap; PCIe systems see per-step overhead</w:t>
      </w:r>
    </w:p>
    <w:p>
      <w:pPr>
        <w:pStyle w:val="Compact"/>
        <w:numPr>
          <w:ilvl w:val="0"/>
          <w:numId w:val="1004"/>
        </w:numPr>
      </w:pPr>
      <w:r>
        <w:t xml:space="preserve">A config resolution bug in SGLang affected our benchmark parameters – discovered during source code verification</w:t>
      </w:r>
    </w:p>
    <w:p>
      <w:pPr>
        <w:pStyle w:val="Compact"/>
        <w:numPr>
          <w:ilvl w:val="0"/>
          <w:numId w:val="1004"/>
        </w:numPr>
      </w:pPr>
      <w:r>
        <w:t xml:space="preserve">Corrected benchmarks are queued for re-run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2026-02-08T21:38:40Z</dcterms:created>
  <dcterms:modified xsi:type="dcterms:W3CDTF">2026-02-08T21:38:40Z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