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D3D56"/>
          <w:sz w:val="32"/>
          <w:szCs w:val="32"/>
        </w:rPr>
        <w:t xml:space="preserve">Comment répondre aux questions du TP</w:t>
      </w:r>
    </w:p>
    <w:p>
      <w:pPr>
        <w:spacing w:after="260"/>
        <w:jc w:val="center"/>
      </w:pPr>
      <w:r>
        <w:rPr>
          <w:i/>
          <w:iCs/>
          <w:color w:val="5B5B78"/>
          <w:sz w:val="21"/>
          <w:szCs w:val="21"/>
        </w:rPr>
        <w:t xml:space="preserve">TP Guidé Chapitre 2 — méthode et schémas de remplissage</w:t>
      </w:r>
    </w:p>
    <w:p>
      <w:pPr>
        <w:spacing w:after="140"/>
      </w:pPr>
      <w:r>
        <w:t xml:space="preserve">La plupart des questions de ce TP suivent la même mécanique : une donnée chiffrée ou observée dans les ressources → une lecture de cette donnée → une conclusion justifiée. Voici trois exemples, un par niveau de difficulté, suivis des schémas montrant comment remplir concrètement les livrables attendus.</w:t>
      </w:r>
    </w:p>
    <w:p>
      <w:pPr>
        <w:pStyle w:val="Heading1"/>
        <w:spacing w:after="120" w:before="300"/>
      </w:pPr>
      <w:r>
        <w:t xml:space="preserve">Exemple 1 — question de recensement (Q3)</w:t>
      </w:r>
    </w:p>
    <w:p>
      <w:pPr>
        <w:spacing w:after="60" w:before="220"/>
      </w:pPr>
      <w:r>
        <w:rPr>
          <w:b/>
          <w:bCs/>
          <w:color w:val="5B5B78"/>
        </w:rPr>
        <w:t xml:space="preserve">Question : Combien de menaces distinctes avez-vous recensées, et dans quels domaines ?</w:t>
      </w:r>
    </w:p>
    <w:p>
      <w:pPr>
        <w:spacing w:after="40" w:before="80"/>
      </w:pPr>
      <w:r>
        <w:rPr>
          <w:b/>
          <w:bCs/>
          <w:caps/>
          <w:color w:val="2F8FA0"/>
          <w:sz w:val="18"/>
          <w:szCs w:val="18"/>
        </w:rPr>
        <w:t xml:space="preserve">Méthode</w:t>
      </w:r>
    </w:p>
    <w:p>
      <w:pPr>
        <w:spacing w:after="140"/>
      </w:pPr>
      <w:r>
        <w:t xml:space="preserve">Repartez du graphique par domaine (étape 3) et listez, pour chaque domaine, la ou les menaces concrètes que vous avez identifiées dans les ressources — pas seulement le nom du domaine.</w:t>
      </w:r>
    </w:p>
    <w:p>
      <w:pPr>
        <w:spacing w:after="40" w:before="80"/>
      </w:pPr>
      <w:r>
        <w:rPr>
          <w:b/>
          <w:bCs/>
          <w:caps/>
          <w:color w:val="2F8FA0"/>
          <w:sz w:val="18"/>
          <w:szCs w:val="18"/>
        </w:rPr>
        <w:t xml:space="preserve">Réponse type</w:t>
      </w:r>
    </w:p>
    <w:p>
      <w:pPr>
        <w:spacing w:after="140"/>
      </w:pPr>
      <w:r>
        <w:t xml:space="preserve">« J'ai recensé 4 menaces à ce stade : Phishing (domaine Humain), Bucket public (domaine Stockage), Erreur humaine (domaine Traitement) et Accès non révoqué (domaine Accès). » — une réponse correcte donne un chiffre ET la répartition par domaine, pas juste un total.</w:t>
      </w:r>
    </w:p>
    <w:p>
      <w:pPr>
        <w:pStyle w:val="Heading1"/>
        <w:spacing w:after="120" w:before="300"/>
      </w:pPr>
      <w:r>
        <w:t xml:space="preserve">Exemple 2 — question de justification chiffrée (Q7)</w:t>
      </w:r>
    </w:p>
    <w:p>
      <w:pPr>
        <w:spacing w:after="60" w:before="220"/>
      </w:pPr>
      <w:r>
        <w:rPr>
          <w:b/>
          <w:bCs/>
          <w:color w:val="5B5B78"/>
        </w:rPr>
        <w:t xml:space="preserve">Question : Quel risque obtient le score de criticité le plus élevé ? Justifiez.</w:t>
      </w:r>
    </w:p>
    <w:p>
      <w:pPr>
        <w:spacing w:after="40" w:before="80"/>
      </w:pPr>
      <w:r>
        <w:rPr>
          <w:b/>
          <w:bCs/>
          <w:caps/>
          <w:color w:val="2F8FA0"/>
          <w:sz w:val="18"/>
          <w:szCs w:val="18"/>
        </w:rPr>
        <w:t xml:space="preserve">Méthode</w:t>
      </w:r>
    </w:p>
    <w:p>
      <w:pPr>
        <w:spacing w:after="140"/>
      </w:pPr>
      <w:r>
        <w:t xml:space="preserve">Utilisez la formule donnée dans le guide (Criticité = Impact × Probabilité), reprenez les deux valeurs du risque dans le tableau de l'étape 6, et comparez au risque suivant pour montrer que ce n'est pas un hasard.</w:t>
      </w:r>
    </w:p>
    <w:p>
      <w:pPr>
        <w:spacing w:after="40" w:before="80"/>
      </w:pPr>
      <w:r>
        <w:rPr>
          <w:b/>
          <w:bCs/>
          <w:caps/>
          <w:color w:val="2F8FA0"/>
          <w:sz w:val="18"/>
          <w:szCs w:val="18"/>
        </w:rPr>
        <w:t xml:space="preserve">Réponse type</w:t>
      </w:r>
    </w:p>
    <w:p>
      <w:pPr>
        <w:spacing w:after="140"/>
      </w:pPr>
      <w:r>
        <w:t xml:space="preserve">« Bucket public obtient le score le plus élevé : 5 (impact) × 4 (probabilité) = 20. C'est net devant Phishing (4×4=16). L'impact est maximal car l'actif touché (données clients) est classé Critique et exposé en externe ; la probabilité est élevée car l'exploitation a déjà eu lieu (accès anonyme constaté dans les logs). » — la structure à retenir : chiffre → calcul → pourquoi impact élevé → pourquoi probabilité élevée.</w:t>
      </w:r>
    </w:p>
    <w:p>
      <w:pPr>
        <w:spacing w:after="220" w:before="100"/>
        <w:jc w:val="center"/>
      </w:pPr>
      <w:r>
        <w:drawing>
          <wp:inline distT="0" distB="0" distL="0" distR="0">
            <wp:extent cx="5760720" cy="35509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00"/>
      </w:pPr>
      <w:r>
        <w:t xml:space="preserve">Exemple 3 — question de recommandation (Q16)</w:t>
      </w:r>
    </w:p>
    <w:p>
      <w:pPr>
        <w:spacing w:after="60" w:before="220"/>
      </w:pPr>
      <w:r>
        <w:rPr>
          <w:b/>
          <w:bCs/>
          <w:color w:val="5B5B78"/>
        </w:rPr>
        <w:t xml:space="preserve">Question : Quelles mesures correctives classez-vous en priorité Must ? Pourquoi ?</w:t>
      </w:r>
    </w:p>
    <w:p>
      <w:pPr>
        <w:spacing w:after="40" w:before="80"/>
      </w:pPr>
      <w:r>
        <w:rPr>
          <w:b/>
          <w:bCs/>
          <w:caps/>
          <w:color w:val="2F8FA0"/>
          <w:sz w:val="18"/>
          <w:szCs w:val="18"/>
        </w:rPr>
        <w:t xml:space="preserve">Méthode</w:t>
      </w:r>
    </w:p>
    <w:p>
      <w:pPr>
        <w:spacing w:after="140"/>
      </w:pPr>
      <w:r>
        <w:t xml:space="preserve">Une réponse « recommandation » a trois volets : la mesure choisie, le critère de priorisation utilisé (ici la criticité), et un argument pratique (facilité, rapidité, ou risque immédiat).</w:t>
      </w:r>
    </w:p>
    <w:p>
      <w:pPr>
        <w:spacing w:after="40" w:before="80"/>
      </w:pPr>
      <w:r>
        <w:rPr>
          <w:b/>
          <w:bCs/>
          <w:caps/>
          <w:color w:val="2F8FA0"/>
          <w:sz w:val="18"/>
          <w:szCs w:val="18"/>
        </w:rPr>
        <w:t xml:space="preserve">Réponse type</w:t>
      </w:r>
    </w:p>
    <w:p>
      <w:pPr>
        <w:spacing w:after="140"/>
      </w:pPr>
      <w:r>
        <w:t xml:space="preserve">« Corriger le bucket de stockage exposé publiquement est en priorité Must : c'est le risque le plus critique (score 20/25), il touche des données classées Critique, et il est déjà exploité. C'est aussi une correction rapide (revoir la policy S3), ce qui en fait un bon compromis urgence/effort. » — évitez de vous limiter à « c'est le plus grave » : dites pourquoi, et ajoutez un argument de faisabilité.</w:t>
      </w:r>
    </w:p>
    <w:p>
      <w:pPr>
        <w:spacing w:after="220" w:before="100"/>
        <w:jc w:val="center"/>
      </w:pPr>
      <w:r>
        <w:drawing>
          <wp:inline distT="0" distB="0" distL="0" distR="0">
            <wp:extent cx="5760720" cy="31651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00"/>
      </w:pPr>
      <w:r>
        <w:t xml:space="preserve">Schéma complémentaire — positionner un risque sur la matrice 9-box (Q13)</w:t>
      </w:r>
    </w:p>
    <w:p>
      <w:pPr>
        <w:spacing w:after="140"/>
      </w:pPr>
      <w:r>
        <w:t xml:space="preserve">Le même principe (chiffre → lecture → placement) s'applique à la matrice 9-box de l'étape 10 :</w:t>
      </w:r>
    </w:p>
    <w:p>
      <w:pPr>
        <w:spacing w:after="220" w:before="100"/>
        <w:jc w:val="center"/>
      </w:pPr>
      <w:r>
        <w:drawing>
          <wp:inline distT="0" distB="0" distL="0" distR="0">
            <wp:extent cx="5760720" cy="30403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</w:pPr>
      <w:r>
        <w:rPr>
          <w:i/>
          <w:iCs/>
          <w:color w:val="555555"/>
          <w:sz w:val="19"/>
          <w:szCs w:val="19"/>
        </w:rPr>
        <w:t xml:space="preserve">Le principe se généralise à toutes les questions du TP : appuyez-vous toujours sur une donnée précise des ressources (chiffre, ligne de log, ligne du registre) plutôt que sur une impression générale.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7f0dfe161d43f42bd4060c3fe8c793c67fef61.undefined"/><Relationship Id="rId8" Type="http://schemas.openxmlformats.org/officeDocument/2006/relationships/image" Target="media/96a7947582b1bfa1ac3656ccf0cc12893ca2c16b.undefined"/><Relationship Id="rId9" Type="http://schemas.openxmlformats.org/officeDocument/2006/relationships/image" Target="media/89ee487b12aa4c65328939f53fda76c5470ff065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2026-09-01T20:13:25.997Z</dcterms:created>
  <dcterms:modified xsi:type="dcterms:W3CDTF">2026-09-01T20:13:26.010Z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