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DAB4" w14:textId="38F73857" w:rsidR="00D4304F" w:rsidRDefault="00A969E7">
      <w:pPr>
        <w:pStyle w:val="Heading1"/>
      </w:pPr>
      <w:r>
        <w:t>Medicare data analysis</w:t>
      </w:r>
    </w:p>
    <w:p w14:paraId="7E5D0EAB" w14:textId="45B76B2A" w:rsidR="00D4304F" w:rsidRPr="00A969E7" w:rsidRDefault="00A969E7">
      <w:pPr>
        <w:rPr>
          <w:b/>
          <w:bCs/>
        </w:rPr>
      </w:pPr>
      <w:r w:rsidRPr="00A969E7">
        <w:rPr>
          <w:b/>
          <w:bCs/>
        </w:rPr>
        <w:t>Hospital Readmissions Reduction Program [HRRP]</w:t>
      </w:r>
    </w:p>
    <w:p w14:paraId="5308A9CF" w14:textId="061726D5" w:rsidR="00D4304F" w:rsidRDefault="00A969E7">
      <w:pPr>
        <w:pStyle w:val="Heading2"/>
      </w:pPr>
      <w:r>
        <w:t>summary</w:t>
      </w:r>
    </w:p>
    <w:p w14:paraId="0E67556D" w14:textId="74B381ED" w:rsidR="00D4304F" w:rsidRDefault="00A969E7">
      <w:r>
        <w:t xml:space="preserve">Exploratory analysis of Medicare’s effort to reduce hospital readmissions within a 30-day window for six specific conditions. Under this initiative, payments for services rendered are reduced, up to 3%, for </w:t>
      </w:r>
      <w:r w:rsidRPr="00A969E7">
        <w:rPr>
          <w:i/>
          <w:iCs/>
        </w:rPr>
        <w:t>substandard</w:t>
      </w:r>
      <w:r>
        <w:t xml:space="preserve"> quality of care. As noted below, the focus of this analysis</w:t>
      </w:r>
      <w:r w:rsidR="00216752">
        <w:t xml:space="preserve"> is to evaluate the “relative performance” metric as it relates to </w:t>
      </w:r>
      <w:r w:rsidR="00DD1F2F">
        <w:t>t</w:t>
      </w:r>
      <w:r w:rsidR="00216752">
        <w:t>h</w:t>
      </w:r>
      <w:r w:rsidR="00DD1F2F">
        <w:t>e designated quantifiable metric, readmission.</w:t>
      </w:r>
    </w:p>
    <w:p w14:paraId="2D44E74D" w14:textId="25D49B38" w:rsidR="00D4304F" w:rsidRPr="00DD1F2F" w:rsidRDefault="00A969E7">
      <w:pPr>
        <w:pStyle w:val="Quote"/>
        <w:rPr>
          <w:sz w:val="24"/>
        </w:rPr>
      </w:pPr>
      <w:r w:rsidRPr="00DD1F2F">
        <w:rPr>
          <w:sz w:val="24"/>
        </w:rPr>
        <w:t>“…the 21st Century Cures Act requires CMS to assess a hospital’s performance relative to other hospitals with a similar proportion of patients who are dually eligible for Medicare and full-benefit Medicaid beginning in FY 2019.”</w:t>
      </w:r>
    </w:p>
    <w:p w14:paraId="476A515C" w14:textId="67844EF8" w:rsidR="00D4304F" w:rsidRDefault="00DD1F2F">
      <w:r>
        <w:t>Conditions of focus when determining risk-standardized unplanned readmission measures, as outlined within the HRRP program:</w:t>
      </w:r>
    </w:p>
    <w:p w14:paraId="67060E78" w14:textId="05C2FDE3" w:rsidR="009F5E2B" w:rsidRDefault="00DD1F2F" w:rsidP="00DD1F2F">
      <w:pPr>
        <w:pStyle w:val="ListBullet"/>
      </w:pPr>
      <w:r>
        <w:t>Acute Myocardial Infarction [AMI]</w:t>
      </w:r>
    </w:p>
    <w:p w14:paraId="2492900C" w14:textId="005D9535" w:rsidR="00DD1F2F" w:rsidRDefault="00DD1F2F" w:rsidP="00DD1F2F">
      <w:pPr>
        <w:pStyle w:val="ListBullet"/>
      </w:pPr>
      <w:r>
        <w:t>Chronic Obstructive Pulmonary Disease [COPD]</w:t>
      </w:r>
    </w:p>
    <w:p w14:paraId="2131CD3A" w14:textId="71E1D56E" w:rsidR="00DD1F2F" w:rsidRDefault="00DD1F2F" w:rsidP="00DD1F2F">
      <w:pPr>
        <w:pStyle w:val="ListBullet"/>
      </w:pPr>
      <w:r>
        <w:t>Heart Failure [HF]</w:t>
      </w:r>
    </w:p>
    <w:p w14:paraId="65FCAA9D" w14:textId="77777777" w:rsidR="00DD1F2F" w:rsidRDefault="00DD1F2F" w:rsidP="00DD1F2F">
      <w:pPr>
        <w:pStyle w:val="ListBullet"/>
      </w:pPr>
      <w:r>
        <w:t>Pneumonia [PNA]</w:t>
      </w:r>
    </w:p>
    <w:p w14:paraId="1268D583" w14:textId="5914C011" w:rsidR="00DD1F2F" w:rsidRDefault="00DD1F2F" w:rsidP="00DD1F2F">
      <w:pPr>
        <w:pStyle w:val="ListBullet"/>
      </w:pPr>
      <w:r>
        <w:t>Coronary Artery Bypass Graft Surgery [CABG]</w:t>
      </w:r>
    </w:p>
    <w:p w14:paraId="7FC5CA47" w14:textId="239DFC00" w:rsidR="00DD1F2F" w:rsidRDefault="00DD1F2F" w:rsidP="00DD1F2F">
      <w:pPr>
        <w:pStyle w:val="ListBullet"/>
      </w:pPr>
      <w:r>
        <w:t xml:space="preserve"> Elective Primary Total Hip Arthroplasty and/or Total Knee Arthroplasty [THA/TKA]</w:t>
      </w:r>
    </w:p>
    <w:p w14:paraId="7ED95D4B" w14:textId="73DD0985" w:rsidR="00DD1F2F" w:rsidRDefault="00DD1F2F" w:rsidP="00DD1F2F">
      <w:pPr>
        <w:pStyle w:val="ListBullet"/>
        <w:numPr>
          <w:ilvl w:val="0"/>
          <w:numId w:val="0"/>
        </w:numPr>
      </w:pPr>
    </w:p>
    <w:p w14:paraId="343579C3" w14:textId="624D9DE0" w:rsidR="00DD1F2F" w:rsidRDefault="00DD1F2F" w:rsidP="00DD1F2F">
      <w:pPr>
        <w:pStyle w:val="Heading2"/>
      </w:pPr>
      <w:r>
        <w:t>DATA</w:t>
      </w:r>
    </w:p>
    <w:p w14:paraId="01C31627" w14:textId="74B15366" w:rsidR="00DD1F2F" w:rsidRDefault="00DD1F2F" w:rsidP="00DD1F2F">
      <w:pPr>
        <w:pStyle w:val="ListBullet"/>
        <w:numPr>
          <w:ilvl w:val="0"/>
          <w:numId w:val="0"/>
        </w:numPr>
      </w:pPr>
      <w:r>
        <w:t>The data was sourced</w:t>
      </w:r>
      <w:r w:rsidR="00A10BCB">
        <w:t xml:space="preserve"> directly</w:t>
      </w:r>
      <w:r>
        <w:t xml:space="preserve"> from</w:t>
      </w:r>
      <w:r w:rsidR="00A10BCB">
        <w:t xml:space="preserve"> Medicare via their API. The dataset retrieved consisted of 19,674 rows with 12 variables that spanned a timeframe beginning on 07/01/14 and terminating </w:t>
      </w:r>
      <w:r w:rsidR="00A10BCB">
        <w:lastRenderedPageBreak/>
        <w:t xml:space="preserve">on 06/30/17.  </w:t>
      </w:r>
      <w:r w:rsidR="001232F3">
        <w:t xml:space="preserve">Note, in </w:t>
      </w:r>
      <w:r w:rsidR="001232F3" w:rsidRPr="001232F3">
        <w:rPr>
          <w:i/>
          <w:iCs/>
        </w:rPr>
        <w:t>figure one</w:t>
      </w:r>
      <w:r w:rsidR="001232F3">
        <w:t>, the number of discharges values have been rounded to their respective whole value.</w:t>
      </w:r>
    </w:p>
    <w:tbl>
      <w:tblPr>
        <w:tblStyle w:val="PlainTable3"/>
        <w:tblW w:w="0" w:type="auto"/>
        <w:tblLook w:val="04A0" w:firstRow="1" w:lastRow="0" w:firstColumn="1" w:lastColumn="0" w:noHBand="0" w:noVBand="1"/>
      </w:tblPr>
      <w:tblGrid>
        <w:gridCol w:w="3408"/>
        <w:gridCol w:w="3408"/>
        <w:gridCol w:w="3408"/>
      </w:tblGrid>
      <w:tr w:rsidR="00BD0CC4" w14:paraId="59715769" w14:textId="77777777" w:rsidTr="00BD0C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8" w:type="dxa"/>
          </w:tcPr>
          <w:p w14:paraId="07366661" w14:textId="77777777" w:rsidR="00BD0CC4" w:rsidRDefault="00BD0CC4" w:rsidP="00DD1F2F">
            <w:pPr>
              <w:pStyle w:val="ListBullet"/>
              <w:numPr>
                <w:ilvl w:val="0"/>
                <w:numId w:val="0"/>
              </w:numPr>
            </w:pPr>
          </w:p>
        </w:tc>
        <w:tc>
          <w:tcPr>
            <w:tcW w:w="3408" w:type="dxa"/>
          </w:tcPr>
          <w:p w14:paraId="4D023FD9" w14:textId="007DBF92" w:rsidR="00BD0CC4" w:rsidRDefault="00BD0CC4" w:rsidP="00DD1F2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Number of discharges</w:t>
            </w:r>
          </w:p>
        </w:tc>
        <w:tc>
          <w:tcPr>
            <w:tcW w:w="3408" w:type="dxa"/>
          </w:tcPr>
          <w:p w14:paraId="6A5852E7" w14:textId="13556E5F" w:rsidR="00BD0CC4" w:rsidRDefault="00BD0CC4" w:rsidP="00DD1F2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readmission ratio</w:t>
            </w:r>
          </w:p>
        </w:tc>
      </w:tr>
      <w:tr w:rsidR="00BD0CC4" w14:paraId="7C18ED75" w14:textId="77777777" w:rsidTr="00BD0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6C333BC5" w14:textId="6B85D0C9" w:rsidR="00BD0CC4" w:rsidRDefault="00BD0CC4" w:rsidP="00DD1F2F">
            <w:pPr>
              <w:pStyle w:val="ListBullet"/>
              <w:numPr>
                <w:ilvl w:val="0"/>
                <w:numId w:val="0"/>
              </w:numPr>
            </w:pPr>
            <w:r>
              <w:t>count</w:t>
            </w:r>
          </w:p>
        </w:tc>
        <w:tc>
          <w:tcPr>
            <w:tcW w:w="3408" w:type="dxa"/>
          </w:tcPr>
          <w:p w14:paraId="0488F29A" w14:textId="261CEBF9" w:rsidR="00BD0CC4" w:rsidRDefault="00BD0CC4" w:rsidP="00BD0CC4">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pPr>
            <w:r>
              <w:t>11,532</w:t>
            </w:r>
          </w:p>
        </w:tc>
        <w:tc>
          <w:tcPr>
            <w:tcW w:w="3408" w:type="dxa"/>
          </w:tcPr>
          <w:p w14:paraId="14CF9F24" w14:textId="1E2A6655" w:rsidR="00BD0CC4" w:rsidRDefault="001232F3" w:rsidP="00BD0CC4">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pPr>
            <w:r>
              <w:t>11532</w:t>
            </w:r>
          </w:p>
        </w:tc>
      </w:tr>
      <w:tr w:rsidR="00BD0CC4" w14:paraId="18252AB6" w14:textId="77777777" w:rsidTr="00BD0CC4">
        <w:tc>
          <w:tcPr>
            <w:cnfStyle w:val="001000000000" w:firstRow="0" w:lastRow="0" w:firstColumn="1" w:lastColumn="0" w:oddVBand="0" w:evenVBand="0" w:oddHBand="0" w:evenHBand="0" w:firstRowFirstColumn="0" w:firstRowLastColumn="0" w:lastRowFirstColumn="0" w:lastRowLastColumn="0"/>
            <w:tcW w:w="3408" w:type="dxa"/>
          </w:tcPr>
          <w:p w14:paraId="635AA959" w14:textId="5C191FEE" w:rsidR="00BD0CC4" w:rsidRPr="00BD0CC4" w:rsidRDefault="00BD0CC4" w:rsidP="00DD1F2F">
            <w:pPr>
              <w:pStyle w:val="ListBullet"/>
              <w:numPr>
                <w:ilvl w:val="0"/>
                <w:numId w:val="0"/>
              </w:numPr>
              <w:rPr>
                <w:b w:val="0"/>
                <w:bCs w:val="0"/>
                <w:caps w:val="0"/>
              </w:rPr>
            </w:pPr>
            <w:r>
              <w:t>mean</w:t>
            </w:r>
          </w:p>
        </w:tc>
        <w:tc>
          <w:tcPr>
            <w:tcW w:w="3408" w:type="dxa"/>
          </w:tcPr>
          <w:p w14:paraId="281FA150" w14:textId="34B87071" w:rsidR="00BD0CC4" w:rsidRDefault="00BD0CC4" w:rsidP="00BD0CC4">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393</w:t>
            </w:r>
          </w:p>
        </w:tc>
        <w:tc>
          <w:tcPr>
            <w:tcW w:w="3408" w:type="dxa"/>
          </w:tcPr>
          <w:p w14:paraId="607C35B4" w14:textId="4B2B2432" w:rsidR="00BD0CC4" w:rsidRDefault="001232F3" w:rsidP="00BD0CC4">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1.007</w:t>
            </w:r>
          </w:p>
        </w:tc>
      </w:tr>
      <w:tr w:rsidR="00BD0CC4" w14:paraId="3319F291" w14:textId="77777777" w:rsidTr="00BD0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64E4464E" w14:textId="13DA1714" w:rsidR="00BD0CC4" w:rsidRDefault="00BD0CC4" w:rsidP="00DD1F2F">
            <w:pPr>
              <w:pStyle w:val="ListBullet"/>
              <w:numPr>
                <w:ilvl w:val="0"/>
                <w:numId w:val="0"/>
              </w:numPr>
            </w:pPr>
            <w:r>
              <w:t>standard dev.</w:t>
            </w:r>
          </w:p>
        </w:tc>
        <w:tc>
          <w:tcPr>
            <w:tcW w:w="3408" w:type="dxa"/>
          </w:tcPr>
          <w:p w14:paraId="246A1566" w14:textId="3957B944" w:rsidR="00BD0CC4" w:rsidRDefault="00BD0CC4" w:rsidP="00BD0CC4">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pPr>
            <w:r>
              <w:t>355</w:t>
            </w:r>
          </w:p>
        </w:tc>
        <w:tc>
          <w:tcPr>
            <w:tcW w:w="3408" w:type="dxa"/>
          </w:tcPr>
          <w:p w14:paraId="14C3B596" w14:textId="3B75ACEE" w:rsidR="00BD0CC4" w:rsidRDefault="001232F3" w:rsidP="00BD0CC4">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pPr>
            <w:r>
              <w:t>0.088</w:t>
            </w:r>
          </w:p>
        </w:tc>
      </w:tr>
      <w:tr w:rsidR="00BD0CC4" w14:paraId="20CE90E1" w14:textId="77777777" w:rsidTr="00BD0CC4">
        <w:tc>
          <w:tcPr>
            <w:cnfStyle w:val="001000000000" w:firstRow="0" w:lastRow="0" w:firstColumn="1" w:lastColumn="0" w:oddVBand="0" w:evenVBand="0" w:oddHBand="0" w:evenHBand="0" w:firstRowFirstColumn="0" w:firstRowLastColumn="0" w:lastRowFirstColumn="0" w:lastRowLastColumn="0"/>
            <w:tcW w:w="3408" w:type="dxa"/>
          </w:tcPr>
          <w:p w14:paraId="057B6B90" w14:textId="56501AAF" w:rsidR="00BD0CC4" w:rsidRDefault="00BD0CC4" w:rsidP="00DD1F2F">
            <w:pPr>
              <w:pStyle w:val="ListBullet"/>
              <w:numPr>
                <w:ilvl w:val="0"/>
                <w:numId w:val="0"/>
              </w:numPr>
            </w:pPr>
            <w:r>
              <w:t>min</w:t>
            </w:r>
          </w:p>
        </w:tc>
        <w:tc>
          <w:tcPr>
            <w:tcW w:w="3408" w:type="dxa"/>
          </w:tcPr>
          <w:p w14:paraId="6ADA2058" w14:textId="2E0CF929" w:rsidR="00BD0CC4" w:rsidRDefault="00BD0CC4" w:rsidP="00BD0CC4">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27</w:t>
            </w:r>
          </w:p>
        </w:tc>
        <w:tc>
          <w:tcPr>
            <w:tcW w:w="3408" w:type="dxa"/>
          </w:tcPr>
          <w:p w14:paraId="4D17B02D" w14:textId="7865B4EE" w:rsidR="00BD0CC4" w:rsidRDefault="001232F3" w:rsidP="00BD0CC4">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0.598</w:t>
            </w:r>
          </w:p>
        </w:tc>
      </w:tr>
      <w:tr w:rsidR="00BD0CC4" w14:paraId="209E64B1" w14:textId="77777777" w:rsidTr="00BD0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2F98DC1C" w14:textId="290C72B2" w:rsidR="00BD0CC4" w:rsidRDefault="00BD0CC4" w:rsidP="00DD1F2F">
            <w:pPr>
              <w:pStyle w:val="ListBullet"/>
              <w:numPr>
                <w:ilvl w:val="0"/>
                <w:numId w:val="0"/>
              </w:numPr>
            </w:pPr>
            <w:r>
              <w:t>25</w:t>
            </w:r>
            <w:r w:rsidRPr="00BD0CC4">
              <w:rPr>
                <w:vertAlign w:val="superscript"/>
              </w:rPr>
              <w:t>th</w:t>
            </w:r>
            <w:r>
              <w:t xml:space="preserve"> percentile</w:t>
            </w:r>
          </w:p>
        </w:tc>
        <w:tc>
          <w:tcPr>
            <w:tcW w:w="3408" w:type="dxa"/>
          </w:tcPr>
          <w:p w14:paraId="1640E5E2" w14:textId="72F29949" w:rsidR="00BD0CC4" w:rsidRDefault="00BD0CC4" w:rsidP="00BD0CC4">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pPr>
            <w:r>
              <w:t>162</w:t>
            </w:r>
          </w:p>
        </w:tc>
        <w:tc>
          <w:tcPr>
            <w:tcW w:w="3408" w:type="dxa"/>
          </w:tcPr>
          <w:p w14:paraId="52BFBC0F" w14:textId="5842A0E8" w:rsidR="00BD0CC4" w:rsidRDefault="001232F3" w:rsidP="00BD0CC4">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pPr>
            <w:r>
              <w:t>0.953</w:t>
            </w:r>
          </w:p>
        </w:tc>
      </w:tr>
      <w:tr w:rsidR="00BD0CC4" w14:paraId="05A1EB1C" w14:textId="77777777" w:rsidTr="00BD0CC4">
        <w:tc>
          <w:tcPr>
            <w:cnfStyle w:val="001000000000" w:firstRow="0" w:lastRow="0" w:firstColumn="1" w:lastColumn="0" w:oddVBand="0" w:evenVBand="0" w:oddHBand="0" w:evenHBand="0" w:firstRowFirstColumn="0" w:firstRowLastColumn="0" w:lastRowFirstColumn="0" w:lastRowLastColumn="0"/>
            <w:tcW w:w="3408" w:type="dxa"/>
          </w:tcPr>
          <w:p w14:paraId="77899A96" w14:textId="436514D4" w:rsidR="00BD0CC4" w:rsidRPr="00BD0CC4" w:rsidRDefault="00BD0CC4" w:rsidP="00DD1F2F">
            <w:pPr>
              <w:pStyle w:val="ListBullet"/>
              <w:numPr>
                <w:ilvl w:val="0"/>
                <w:numId w:val="0"/>
              </w:numPr>
              <w:rPr>
                <w:b w:val="0"/>
                <w:bCs w:val="0"/>
                <w:caps w:val="0"/>
              </w:rPr>
            </w:pPr>
            <w:r>
              <w:t>50</w:t>
            </w:r>
            <w:r w:rsidRPr="00BD0CC4">
              <w:rPr>
                <w:vertAlign w:val="superscript"/>
              </w:rPr>
              <w:t>th</w:t>
            </w:r>
            <w:r>
              <w:t xml:space="preserve"> percentile</w:t>
            </w:r>
          </w:p>
        </w:tc>
        <w:tc>
          <w:tcPr>
            <w:tcW w:w="3408" w:type="dxa"/>
          </w:tcPr>
          <w:p w14:paraId="74FC66D9" w14:textId="691A7C21" w:rsidR="00BD0CC4" w:rsidRDefault="00BD0CC4" w:rsidP="00BD0CC4">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291</w:t>
            </w:r>
          </w:p>
        </w:tc>
        <w:tc>
          <w:tcPr>
            <w:tcW w:w="3408" w:type="dxa"/>
          </w:tcPr>
          <w:p w14:paraId="12028480" w14:textId="68333564" w:rsidR="00BD0CC4" w:rsidRDefault="001232F3" w:rsidP="00BD0CC4">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1.003</w:t>
            </w:r>
          </w:p>
        </w:tc>
      </w:tr>
      <w:tr w:rsidR="00BD0CC4" w14:paraId="4FF8D3DB" w14:textId="77777777" w:rsidTr="00BD0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2FC54506" w14:textId="378A0990" w:rsidR="00BD0CC4" w:rsidRDefault="00BD0CC4" w:rsidP="00DD1F2F">
            <w:pPr>
              <w:pStyle w:val="ListBullet"/>
              <w:numPr>
                <w:ilvl w:val="0"/>
                <w:numId w:val="0"/>
              </w:numPr>
            </w:pPr>
            <w:r>
              <w:t>75</w:t>
            </w:r>
            <w:r w:rsidRPr="00BD0CC4">
              <w:rPr>
                <w:vertAlign w:val="superscript"/>
              </w:rPr>
              <w:t>th</w:t>
            </w:r>
            <w:r>
              <w:t xml:space="preserve"> percentile</w:t>
            </w:r>
          </w:p>
        </w:tc>
        <w:tc>
          <w:tcPr>
            <w:tcW w:w="3408" w:type="dxa"/>
          </w:tcPr>
          <w:p w14:paraId="3DF5C555" w14:textId="595E2927" w:rsidR="00BD0CC4" w:rsidRDefault="00BD0CC4" w:rsidP="00BD0CC4">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pPr>
            <w:r>
              <w:t>508</w:t>
            </w:r>
          </w:p>
        </w:tc>
        <w:tc>
          <w:tcPr>
            <w:tcW w:w="3408" w:type="dxa"/>
          </w:tcPr>
          <w:p w14:paraId="18A012AA" w14:textId="2235CF95" w:rsidR="00BD0CC4" w:rsidRDefault="001232F3" w:rsidP="00BD0CC4">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pPr>
            <w:r>
              <w:t>1.055</w:t>
            </w:r>
          </w:p>
        </w:tc>
      </w:tr>
      <w:tr w:rsidR="00BD0CC4" w14:paraId="64C66CB2" w14:textId="77777777" w:rsidTr="00BD0CC4">
        <w:tc>
          <w:tcPr>
            <w:cnfStyle w:val="001000000000" w:firstRow="0" w:lastRow="0" w:firstColumn="1" w:lastColumn="0" w:oddVBand="0" w:evenVBand="0" w:oddHBand="0" w:evenHBand="0" w:firstRowFirstColumn="0" w:firstRowLastColumn="0" w:lastRowFirstColumn="0" w:lastRowLastColumn="0"/>
            <w:tcW w:w="3408" w:type="dxa"/>
          </w:tcPr>
          <w:p w14:paraId="1FF17222" w14:textId="06124DEB" w:rsidR="00BD0CC4" w:rsidRDefault="00BD0CC4" w:rsidP="00DD1F2F">
            <w:pPr>
              <w:pStyle w:val="ListBullet"/>
              <w:numPr>
                <w:ilvl w:val="0"/>
                <w:numId w:val="0"/>
              </w:numPr>
            </w:pPr>
            <w:r>
              <w:t>max</w:t>
            </w:r>
          </w:p>
        </w:tc>
        <w:tc>
          <w:tcPr>
            <w:tcW w:w="3408" w:type="dxa"/>
          </w:tcPr>
          <w:p w14:paraId="0CB44A23" w14:textId="537A9B8F" w:rsidR="00BD0CC4" w:rsidRDefault="00BD0CC4" w:rsidP="00BD0CC4">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8</w:t>
            </w:r>
            <w:r w:rsidR="001232F3">
              <w:t>,</w:t>
            </w:r>
            <w:r>
              <w:t>931</w:t>
            </w:r>
          </w:p>
        </w:tc>
        <w:tc>
          <w:tcPr>
            <w:tcW w:w="3408" w:type="dxa"/>
          </w:tcPr>
          <w:p w14:paraId="7B8CD4A3" w14:textId="5A5F91B0" w:rsidR="00BD0CC4" w:rsidRDefault="001232F3" w:rsidP="00BD0CC4">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1.825</w:t>
            </w:r>
          </w:p>
        </w:tc>
      </w:tr>
    </w:tbl>
    <w:p w14:paraId="7E43A2F6" w14:textId="389D9CB9" w:rsidR="001232F3" w:rsidRDefault="001232F3" w:rsidP="001232F3">
      <w:pPr>
        <w:pStyle w:val="ListBullet"/>
        <w:numPr>
          <w:ilvl w:val="0"/>
          <w:numId w:val="0"/>
        </w:numPr>
        <w:jc w:val="center"/>
        <w:rPr>
          <w:i/>
          <w:iCs/>
        </w:rPr>
      </w:pPr>
      <w:r>
        <w:rPr>
          <w:i/>
          <w:iCs/>
        </w:rPr>
        <w:t>Figure 1</w:t>
      </w:r>
    </w:p>
    <w:p w14:paraId="1192475E" w14:textId="2897681D" w:rsidR="001232F3" w:rsidRDefault="001232F3" w:rsidP="001232F3">
      <w:pPr>
        <w:pStyle w:val="ListBullet"/>
        <w:numPr>
          <w:ilvl w:val="0"/>
          <w:numId w:val="0"/>
        </w:numPr>
      </w:pPr>
      <w:r>
        <w:t xml:space="preserve">On average, a given hospital will often exceed their maximal ratio value of 1.00, thereby </w:t>
      </w:r>
      <w:r w:rsidR="00774D87">
        <w:t>causing a reduction in their reimbursements from Medicare. Medicare reimbursemen</w:t>
      </w:r>
      <w:r w:rsidR="002F77EB">
        <w:t xml:space="preserve">ts for physicians stands at $36.0391, the merit-based incentive payment system (MIPS) has a budget neutrality mandate. This mandate stipulates that all </w:t>
      </w:r>
      <w:r w:rsidR="002F77EB">
        <w:rPr>
          <w:i/>
          <w:iCs/>
        </w:rPr>
        <w:t>negative</w:t>
      </w:r>
      <w:r w:rsidR="002F77EB">
        <w:t xml:space="preserve"> performance reductions will be awarded to hospitals through an </w:t>
      </w:r>
      <w:r w:rsidR="002F77EB">
        <w:rPr>
          <w:i/>
          <w:iCs/>
        </w:rPr>
        <w:t>exceptional performance bonus</w:t>
      </w:r>
      <w:r w:rsidR="002F77EB">
        <w:t xml:space="preserve"> to ensure a “neutral” budget, e.g. no surplus nor overtures.</w:t>
      </w:r>
    </w:p>
    <w:p w14:paraId="5381F3DB" w14:textId="130E8306" w:rsidR="002F77EB" w:rsidRDefault="002F77EB" w:rsidP="001232F3">
      <w:pPr>
        <w:pStyle w:val="ListBullet"/>
        <w:numPr>
          <w:ilvl w:val="0"/>
          <w:numId w:val="0"/>
        </w:numPr>
      </w:pPr>
    </w:p>
    <w:p w14:paraId="2EC52E2F" w14:textId="61B6FF73" w:rsidR="002F77EB" w:rsidRDefault="002F77EB" w:rsidP="001232F3">
      <w:pPr>
        <w:pStyle w:val="ListBullet"/>
        <w:numPr>
          <w:ilvl w:val="0"/>
          <w:numId w:val="0"/>
        </w:numPr>
      </w:pPr>
      <w:r>
        <w:t>Medicare evaluates hospitals under the following parameters: “excess readmissions are measured by a ratio, by dividing a hospital’s number of “predicted” 30-day readmissions for one of the six procedures by the number that would be “expected”, based on an average hospital with similar patients. A ratio greater than 1.0000 indicates excess readmissions.”</w:t>
      </w:r>
      <w:r w:rsidR="007D3BA5">
        <w:t xml:space="preserve"> As shown below in figure 3 and figure 4, we can see the distributions of readmissions and discharges for all procedures.</w:t>
      </w:r>
    </w:p>
    <w:p w14:paraId="4472CE7F" w14:textId="6CBB538E" w:rsidR="007D3BA5" w:rsidRDefault="007D3BA5" w:rsidP="001232F3">
      <w:pPr>
        <w:pStyle w:val="ListBullet"/>
        <w:numPr>
          <w:ilvl w:val="0"/>
          <w:numId w:val="0"/>
        </w:numPr>
      </w:pPr>
      <w:r>
        <w:rPr>
          <w:noProof/>
        </w:rPr>
        <w:lastRenderedPageBreak/>
        <w:drawing>
          <wp:inline distT="0" distB="0" distL="0" distR="0" wp14:anchorId="6C7A416F" wp14:editId="2892322D">
            <wp:extent cx="6485890" cy="328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5890" cy="3285490"/>
                    </a:xfrm>
                    <a:prstGeom prst="rect">
                      <a:avLst/>
                    </a:prstGeom>
                    <a:noFill/>
                    <a:ln>
                      <a:noFill/>
                    </a:ln>
                  </pic:spPr>
                </pic:pic>
              </a:graphicData>
            </a:graphic>
          </wp:inline>
        </w:drawing>
      </w:r>
    </w:p>
    <w:p w14:paraId="69815097" w14:textId="6C300012" w:rsidR="007D3BA5" w:rsidRDefault="007D3BA5" w:rsidP="007D3BA5">
      <w:pPr>
        <w:pStyle w:val="ListBullet"/>
        <w:numPr>
          <w:ilvl w:val="0"/>
          <w:numId w:val="0"/>
        </w:numPr>
        <w:jc w:val="center"/>
        <w:rPr>
          <w:i/>
          <w:iCs/>
        </w:rPr>
      </w:pPr>
      <w:r>
        <w:rPr>
          <w:i/>
          <w:iCs/>
        </w:rPr>
        <w:t>Figure 3</w:t>
      </w:r>
    </w:p>
    <w:p w14:paraId="087FB0DF" w14:textId="55366049" w:rsidR="007D3BA5" w:rsidRDefault="007D3BA5" w:rsidP="007D3BA5">
      <w:pPr>
        <w:pStyle w:val="ListBullet"/>
        <w:numPr>
          <w:ilvl w:val="0"/>
          <w:numId w:val="0"/>
        </w:numPr>
        <w:jc w:val="center"/>
        <w:rPr>
          <w:i/>
          <w:iCs/>
        </w:rPr>
      </w:pPr>
      <w:r>
        <w:rPr>
          <w:i/>
          <w:iCs/>
        </w:rPr>
        <w:t>Medicare Readmission [Ratios]</w:t>
      </w:r>
    </w:p>
    <w:p w14:paraId="4C5163DB" w14:textId="44567BD6" w:rsidR="007D3BA5" w:rsidRDefault="007D3BA5" w:rsidP="007D3BA5">
      <w:pPr>
        <w:pStyle w:val="ListBullet"/>
        <w:numPr>
          <w:ilvl w:val="0"/>
          <w:numId w:val="0"/>
        </w:numPr>
        <w:jc w:val="center"/>
        <w:rPr>
          <w:i/>
          <w:iCs/>
        </w:rPr>
      </w:pPr>
      <w:r>
        <w:rPr>
          <w:i/>
          <w:iCs/>
          <w:noProof/>
        </w:rPr>
        <w:drawing>
          <wp:inline distT="0" distB="0" distL="0" distR="0" wp14:anchorId="648B84FE" wp14:editId="3377D533">
            <wp:extent cx="6485890" cy="3179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5890" cy="3179445"/>
                    </a:xfrm>
                    <a:prstGeom prst="rect">
                      <a:avLst/>
                    </a:prstGeom>
                    <a:noFill/>
                    <a:ln>
                      <a:noFill/>
                    </a:ln>
                  </pic:spPr>
                </pic:pic>
              </a:graphicData>
            </a:graphic>
          </wp:inline>
        </w:drawing>
      </w:r>
    </w:p>
    <w:p w14:paraId="44D98F1E" w14:textId="3F4B90F8" w:rsidR="007D3BA5" w:rsidRDefault="007D3BA5" w:rsidP="007D3BA5">
      <w:pPr>
        <w:pStyle w:val="ListBullet"/>
        <w:numPr>
          <w:ilvl w:val="0"/>
          <w:numId w:val="0"/>
        </w:numPr>
        <w:jc w:val="center"/>
        <w:rPr>
          <w:i/>
          <w:iCs/>
        </w:rPr>
      </w:pPr>
      <w:r>
        <w:rPr>
          <w:i/>
          <w:iCs/>
        </w:rPr>
        <w:t>Figure 4</w:t>
      </w:r>
    </w:p>
    <w:p w14:paraId="510556EE" w14:textId="22F56AA9" w:rsidR="007D3BA5" w:rsidRPr="007D3BA5" w:rsidRDefault="007D3BA5" w:rsidP="007D3BA5">
      <w:pPr>
        <w:pStyle w:val="ListBullet"/>
        <w:numPr>
          <w:ilvl w:val="0"/>
          <w:numId w:val="0"/>
        </w:numPr>
        <w:jc w:val="center"/>
        <w:rPr>
          <w:i/>
          <w:iCs/>
        </w:rPr>
      </w:pPr>
      <w:r>
        <w:rPr>
          <w:i/>
          <w:iCs/>
        </w:rPr>
        <w:t>Medicare Discharges [Counts]</w:t>
      </w:r>
    </w:p>
    <w:p w14:paraId="06B36A16" w14:textId="77777777" w:rsidR="007D3BA5" w:rsidRDefault="007D3BA5" w:rsidP="001232F3">
      <w:pPr>
        <w:pStyle w:val="ListBullet"/>
        <w:numPr>
          <w:ilvl w:val="0"/>
          <w:numId w:val="0"/>
        </w:numPr>
      </w:pPr>
    </w:p>
    <w:p w14:paraId="1DB0FD99" w14:textId="29FD9287" w:rsidR="00823202" w:rsidRDefault="00823202" w:rsidP="001232F3">
      <w:pPr>
        <w:pStyle w:val="ListBullet"/>
        <w:numPr>
          <w:ilvl w:val="0"/>
          <w:numId w:val="0"/>
        </w:numPr>
      </w:pPr>
    </w:p>
    <w:p w14:paraId="3736CE05" w14:textId="47C4298B" w:rsidR="00823202" w:rsidRDefault="00823202" w:rsidP="00823202">
      <w:pPr>
        <w:pStyle w:val="Heading2"/>
      </w:pPr>
      <w:r>
        <w:t>Analysis</w:t>
      </w:r>
      <w:r w:rsidR="007B4F0A">
        <w:rPr>
          <w:noProof/>
        </w:rPr>
        <w:drawing>
          <wp:inline distT="0" distB="0" distL="0" distR="0" wp14:anchorId="14DD59DC" wp14:editId="7471C745">
            <wp:extent cx="648589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5890" cy="1477645"/>
                    </a:xfrm>
                    <a:prstGeom prst="rect">
                      <a:avLst/>
                    </a:prstGeom>
                    <a:noFill/>
                    <a:ln>
                      <a:noFill/>
                    </a:ln>
                  </pic:spPr>
                </pic:pic>
              </a:graphicData>
            </a:graphic>
          </wp:inline>
        </w:drawing>
      </w:r>
    </w:p>
    <w:p w14:paraId="4B7A91E9" w14:textId="293AC6DA" w:rsidR="00EF512F" w:rsidRDefault="00EF512F" w:rsidP="00EF512F">
      <w:pPr>
        <w:jc w:val="center"/>
        <w:rPr>
          <w:i/>
          <w:iCs/>
        </w:rPr>
      </w:pPr>
      <w:r>
        <w:rPr>
          <w:i/>
          <w:iCs/>
        </w:rPr>
        <w:t xml:space="preserve">Figure </w:t>
      </w:r>
      <w:r w:rsidR="007D3BA5">
        <w:rPr>
          <w:i/>
          <w:iCs/>
        </w:rPr>
        <w:t>5</w:t>
      </w:r>
    </w:p>
    <w:p w14:paraId="6EA97F9B" w14:textId="2615B10A" w:rsidR="00EF512F" w:rsidRPr="00EF512F" w:rsidRDefault="00EF512F" w:rsidP="00EF512F">
      <w:r>
        <w:t xml:space="preserve">Figure </w:t>
      </w:r>
      <w:r w:rsidR="007D3BA5">
        <w:t>5</w:t>
      </w:r>
      <w:r>
        <w:t>, summary of total counts by procedure. Respiratory issues account for two of the top three disease/illness processes, heart failure is the secondary only to pneumonia. This is aligned with our initial judgements as the populace that utilizes Medicare is greater than 65 years of age. These processes are in-line with the major aliments for that populace, as heart failure and COPD are both illnesses that degrade the patient as measured in years/decades.</w:t>
      </w:r>
    </w:p>
    <w:tbl>
      <w:tblPr>
        <w:tblStyle w:val="PlainTable3"/>
        <w:tblW w:w="0" w:type="auto"/>
        <w:tblLook w:val="04A0" w:firstRow="1" w:lastRow="0" w:firstColumn="1" w:lastColumn="0" w:noHBand="0" w:noVBand="1"/>
      </w:tblPr>
      <w:tblGrid>
        <w:gridCol w:w="5112"/>
        <w:gridCol w:w="5112"/>
      </w:tblGrid>
      <w:tr w:rsidR="007B4F0A" w14:paraId="5EE364BD" w14:textId="77777777" w:rsidTr="007B4F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12" w:type="dxa"/>
          </w:tcPr>
          <w:p w14:paraId="559F757C" w14:textId="52AE75E6" w:rsidR="007B4F0A" w:rsidRDefault="007B4F0A" w:rsidP="007B4F0A">
            <w:pPr>
              <w:pStyle w:val="ListBullet"/>
              <w:numPr>
                <w:ilvl w:val="0"/>
                <w:numId w:val="0"/>
              </w:numPr>
              <w:spacing w:before="0"/>
            </w:pPr>
            <w:r>
              <w:t>MEASURE/SERVICE TYPE</w:t>
            </w:r>
          </w:p>
        </w:tc>
        <w:tc>
          <w:tcPr>
            <w:tcW w:w="5112" w:type="dxa"/>
          </w:tcPr>
          <w:p w14:paraId="616AF26F" w14:textId="7523A1BA" w:rsidR="007B4F0A" w:rsidRDefault="007B4F0A" w:rsidP="007B4F0A">
            <w:pPr>
              <w:pStyle w:val="ListBullet"/>
              <w:numPr>
                <w:ilvl w:val="0"/>
                <w:numId w:val="0"/>
              </w:numPr>
              <w:spacing w:before="0"/>
              <w:cnfStyle w:val="100000000000" w:firstRow="1" w:lastRow="0" w:firstColumn="0" w:lastColumn="0" w:oddVBand="0" w:evenVBand="0" w:oddHBand="0" w:evenHBand="0" w:firstRowFirstColumn="0" w:firstRowLastColumn="0" w:lastRowFirstColumn="0" w:lastRowLastColumn="0"/>
            </w:pPr>
            <w:r>
              <w:t>MEAN</w:t>
            </w:r>
          </w:p>
        </w:tc>
      </w:tr>
      <w:tr w:rsidR="007B4F0A" w14:paraId="46631691" w14:textId="77777777" w:rsidTr="007B4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61C8FFEE" w14:textId="77777777" w:rsidR="007B4F0A" w:rsidRDefault="007B4F0A" w:rsidP="001232F3">
            <w:pPr>
              <w:pStyle w:val="ListBullet"/>
              <w:numPr>
                <w:ilvl w:val="0"/>
                <w:numId w:val="0"/>
              </w:numPr>
              <w:rPr>
                <w:b w:val="0"/>
                <w:bCs w:val="0"/>
                <w:caps w:val="0"/>
              </w:rPr>
            </w:pPr>
            <w:r>
              <w:t>HEART FAILURE</w:t>
            </w:r>
          </w:p>
          <w:p w14:paraId="549C8D63" w14:textId="7A0B87B2" w:rsidR="007B4F0A" w:rsidRDefault="007B4F0A" w:rsidP="001232F3">
            <w:pPr>
              <w:pStyle w:val="ListBullet"/>
              <w:numPr>
                <w:ilvl w:val="0"/>
                <w:numId w:val="0"/>
              </w:numPr>
            </w:pPr>
            <w:r>
              <w:t>[HF]</w:t>
            </w:r>
          </w:p>
        </w:tc>
        <w:tc>
          <w:tcPr>
            <w:tcW w:w="5112" w:type="dxa"/>
          </w:tcPr>
          <w:p w14:paraId="3EE9E59E" w14:textId="77777777" w:rsidR="007B4F0A" w:rsidRDefault="007B4F0A" w:rsidP="007B4F0A">
            <w:pPr>
              <w:pStyle w:val="ListBullet"/>
              <w:numPr>
                <w:ilvl w:val="0"/>
                <w:numId w:val="0"/>
              </w:numPr>
              <w:spacing w:before="120"/>
              <w:jc w:val="center"/>
              <w:cnfStyle w:val="000000100000" w:firstRow="0" w:lastRow="0" w:firstColumn="0" w:lastColumn="0" w:oddVBand="0" w:evenVBand="0" w:oddHBand="1" w:evenHBand="0" w:firstRowFirstColumn="0" w:firstRowLastColumn="0" w:lastRowFirstColumn="0" w:lastRowLastColumn="0"/>
            </w:pPr>
          </w:p>
          <w:p w14:paraId="14E8E9EE" w14:textId="35CAC4BA" w:rsidR="007B4F0A" w:rsidRDefault="007B4F0A" w:rsidP="007B4F0A">
            <w:pPr>
              <w:pStyle w:val="ListBullet"/>
              <w:numPr>
                <w:ilvl w:val="0"/>
                <w:numId w:val="0"/>
              </w:numPr>
              <w:spacing w:before="120"/>
              <w:jc w:val="center"/>
              <w:cnfStyle w:val="000000100000" w:firstRow="0" w:lastRow="0" w:firstColumn="0" w:lastColumn="0" w:oddVBand="0" w:evenVBand="0" w:oddHBand="1" w:evenHBand="0" w:firstRowFirstColumn="0" w:firstRowLastColumn="0" w:lastRowFirstColumn="0" w:lastRowLastColumn="0"/>
            </w:pPr>
            <w:r>
              <w:t>1.003496</w:t>
            </w:r>
          </w:p>
        </w:tc>
      </w:tr>
      <w:tr w:rsidR="007B4F0A" w14:paraId="1C51DF6A" w14:textId="77777777" w:rsidTr="007B4F0A">
        <w:tc>
          <w:tcPr>
            <w:cnfStyle w:val="001000000000" w:firstRow="0" w:lastRow="0" w:firstColumn="1" w:lastColumn="0" w:oddVBand="0" w:evenVBand="0" w:oddHBand="0" w:evenHBand="0" w:firstRowFirstColumn="0" w:firstRowLastColumn="0" w:lastRowFirstColumn="0" w:lastRowLastColumn="0"/>
            <w:tcW w:w="5112" w:type="dxa"/>
          </w:tcPr>
          <w:p w14:paraId="69CF1D4A" w14:textId="77777777" w:rsidR="007B4F0A" w:rsidRDefault="007B4F0A" w:rsidP="001232F3">
            <w:pPr>
              <w:pStyle w:val="ListBullet"/>
              <w:numPr>
                <w:ilvl w:val="0"/>
                <w:numId w:val="0"/>
              </w:numPr>
              <w:rPr>
                <w:b w:val="0"/>
                <w:bCs w:val="0"/>
                <w:caps w:val="0"/>
              </w:rPr>
            </w:pPr>
            <w:r>
              <w:t>PNEUMONIA</w:t>
            </w:r>
          </w:p>
          <w:p w14:paraId="6265A0F9" w14:textId="650991B2" w:rsidR="007B4F0A" w:rsidRDefault="007B4F0A" w:rsidP="001232F3">
            <w:pPr>
              <w:pStyle w:val="ListBullet"/>
              <w:numPr>
                <w:ilvl w:val="0"/>
                <w:numId w:val="0"/>
              </w:numPr>
            </w:pPr>
            <w:r>
              <w:t>[PNA]</w:t>
            </w:r>
          </w:p>
        </w:tc>
        <w:tc>
          <w:tcPr>
            <w:tcW w:w="5112" w:type="dxa"/>
          </w:tcPr>
          <w:p w14:paraId="518274AF" w14:textId="77777777" w:rsidR="007B4F0A" w:rsidRDefault="007B4F0A" w:rsidP="007B4F0A">
            <w:pPr>
              <w:pStyle w:val="ListBullet"/>
              <w:numPr>
                <w:ilvl w:val="0"/>
                <w:numId w:val="0"/>
              </w:numPr>
              <w:spacing w:before="120"/>
              <w:jc w:val="center"/>
              <w:cnfStyle w:val="000000000000" w:firstRow="0" w:lastRow="0" w:firstColumn="0" w:lastColumn="0" w:oddVBand="0" w:evenVBand="0" w:oddHBand="0" w:evenHBand="0" w:firstRowFirstColumn="0" w:firstRowLastColumn="0" w:lastRowFirstColumn="0" w:lastRowLastColumn="0"/>
            </w:pPr>
          </w:p>
          <w:p w14:paraId="6FDD6AAA" w14:textId="0DDD29B4" w:rsidR="007B4F0A" w:rsidRDefault="007B4F0A" w:rsidP="007B4F0A">
            <w:pPr>
              <w:pStyle w:val="ListBullet"/>
              <w:numPr>
                <w:ilvl w:val="0"/>
                <w:numId w:val="0"/>
              </w:numPr>
              <w:spacing w:before="120"/>
              <w:jc w:val="center"/>
              <w:cnfStyle w:val="000000000000" w:firstRow="0" w:lastRow="0" w:firstColumn="0" w:lastColumn="0" w:oddVBand="0" w:evenVBand="0" w:oddHBand="0" w:evenHBand="0" w:firstRowFirstColumn="0" w:firstRowLastColumn="0" w:lastRowFirstColumn="0" w:lastRowLastColumn="0"/>
            </w:pPr>
            <w:r>
              <w:t>1.004801</w:t>
            </w:r>
          </w:p>
        </w:tc>
      </w:tr>
      <w:tr w:rsidR="007B4F0A" w14:paraId="185ACDEF" w14:textId="77777777" w:rsidTr="007B4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6BC71853" w14:textId="77777777" w:rsidR="007B4F0A" w:rsidRDefault="007B4F0A" w:rsidP="001232F3">
            <w:pPr>
              <w:pStyle w:val="ListBullet"/>
              <w:numPr>
                <w:ilvl w:val="0"/>
                <w:numId w:val="0"/>
              </w:numPr>
              <w:rPr>
                <w:b w:val="0"/>
                <w:bCs w:val="0"/>
                <w:caps w:val="0"/>
              </w:rPr>
            </w:pPr>
            <w:r>
              <w:t>CHRONIC OBS. PULM. DISEASE</w:t>
            </w:r>
          </w:p>
          <w:p w14:paraId="0BF4AF77" w14:textId="5337D4E5" w:rsidR="007B4F0A" w:rsidRDefault="007B4F0A" w:rsidP="001232F3">
            <w:pPr>
              <w:pStyle w:val="ListBullet"/>
              <w:numPr>
                <w:ilvl w:val="0"/>
                <w:numId w:val="0"/>
              </w:numPr>
            </w:pPr>
            <w:r>
              <w:t>[COPD]</w:t>
            </w:r>
          </w:p>
        </w:tc>
        <w:tc>
          <w:tcPr>
            <w:tcW w:w="5112" w:type="dxa"/>
          </w:tcPr>
          <w:p w14:paraId="1AED5BA3" w14:textId="77777777" w:rsidR="007B4F0A" w:rsidRDefault="007B4F0A" w:rsidP="007B4F0A">
            <w:pPr>
              <w:pStyle w:val="ListBullet"/>
              <w:numPr>
                <w:ilvl w:val="0"/>
                <w:numId w:val="0"/>
              </w:numPr>
              <w:spacing w:before="120"/>
              <w:jc w:val="center"/>
              <w:cnfStyle w:val="000000100000" w:firstRow="0" w:lastRow="0" w:firstColumn="0" w:lastColumn="0" w:oddVBand="0" w:evenVBand="0" w:oddHBand="1" w:evenHBand="0" w:firstRowFirstColumn="0" w:firstRowLastColumn="0" w:lastRowFirstColumn="0" w:lastRowLastColumn="0"/>
            </w:pPr>
          </w:p>
          <w:p w14:paraId="44FC266C" w14:textId="232B63BE" w:rsidR="007B4F0A" w:rsidRDefault="007B4F0A" w:rsidP="007B4F0A">
            <w:pPr>
              <w:pStyle w:val="ListBullet"/>
              <w:numPr>
                <w:ilvl w:val="0"/>
                <w:numId w:val="0"/>
              </w:numPr>
              <w:spacing w:before="120"/>
              <w:jc w:val="center"/>
              <w:cnfStyle w:val="000000100000" w:firstRow="0" w:lastRow="0" w:firstColumn="0" w:lastColumn="0" w:oddVBand="0" w:evenVBand="0" w:oddHBand="1" w:evenHBand="0" w:firstRowFirstColumn="0" w:firstRowLastColumn="0" w:lastRowFirstColumn="0" w:lastRowLastColumn="0"/>
            </w:pPr>
            <w:r>
              <w:t>1.004936</w:t>
            </w:r>
          </w:p>
        </w:tc>
      </w:tr>
      <w:tr w:rsidR="007B4F0A" w14:paraId="5E450E4F" w14:textId="77777777" w:rsidTr="007B4F0A">
        <w:tc>
          <w:tcPr>
            <w:cnfStyle w:val="001000000000" w:firstRow="0" w:lastRow="0" w:firstColumn="1" w:lastColumn="0" w:oddVBand="0" w:evenVBand="0" w:oddHBand="0" w:evenHBand="0" w:firstRowFirstColumn="0" w:firstRowLastColumn="0" w:lastRowFirstColumn="0" w:lastRowLastColumn="0"/>
            <w:tcW w:w="5112" w:type="dxa"/>
          </w:tcPr>
          <w:p w14:paraId="3792A491" w14:textId="77777777" w:rsidR="007B4F0A" w:rsidRDefault="007B4F0A" w:rsidP="001232F3">
            <w:pPr>
              <w:pStyle w:val="ListBullet"/>
              <w:numPr>
                <w:ilvl w:val="0"/>
                <w:numId w:val="0"/>
              </w:numPr>
              <w:rPr>
                <w:b w:val="0"/>
                <w:bCs w:val="0"/>
                <w:caps w:val="0"/>
              </w:rPr>
            </w:pPr>
            <w:r>
              <w:t>ACUTE MYOCARDIAL INFARCTION</w:t>
            </w:r>
          </w:p>
          <w:p w14:paraId="6E9B1559" w14:textId="1C7776BC" w:rsidR="007B4F0A" w:rsidRDefault="007B4F0A" w:rsidP="001232F3">
            <w:pPr>
              <w:pStyle w:val="ListBullet"/>
              <w:numPr>
                <w:ilvl w:val="0"/>
                <w:numId w:val="0"/>
              </w:numPr>
            </w:pPr>
            <w:r>
              <w:t>[AMI]</w:t>
            </w:r>
          </w:p>
        </w:tc>
        <w:tc>
          <w:tcPr>
            <w:tcW w:w="5112" w:type="dxa"/>
          </w:tcPr>
          <w:p w14:paraId="1BBE57C7" w14:textId="77777777" w:rsidR="007B4F0A" w:rsidRDefault="007B4F0A" w:rsidP="007B4F0A">
            <w:pPr>
              <w:pStyle w:val="ListBullet"/>
              <w:numPr>
                <w:ilvl w:val="0"/>
                <w:numId w:val="0"/>
              </w:numPr>
              <w:spacing w:before="120"/>
              <w:jc w:val="center"/>
              <w:cnfStyle w:val="000000000000" w:firstRow="0" w:lastRow="0" w:firstColumn="0" w:lastColumn="0" w:oddVBand="0" w:evenVBand="0" w:oddHBand="0" w:evenHBand="0" w:firstRowFirstColumn="0" w:firstRowLastColumn="0" w:lastRowFirstColumn="0" w:lastRowLastColumn="0"/>
            </w:pPr>
          </w:p>
          <w:p w14:paraId="4E8EFB21" w14:textId="7D534977" w:rsidR="007B4F0A" w:rsidRDefault="007B4F0A" w:rsidP="007B4F0A">
            <w:pPr>
              <w:pStyle w:val="ListBullet"/>
              <w:numPr>
                <w:ilvl w:val="0"/>
                <w:numId w:val="0"/>
              </w:numPr>
              <w:spacing w:before="120"/>
              <w:jc w:val="center"/>
              <w:cnfStyle w:val="000000000000" w:firstRow="0" w:lastRow="0" w:firstColumn="0" w:lastColumn="0" w:oddVBand="0" w:evenVBand="0" w:oddHBand="0" w:evenHBand="0" w:firstRowFirstColumn="0" w:firstRowLastColumn="0" w:lastRowFirstColumn="0" w:lastRowLastColumn="0"/>
            </w:pPr>
            <w:r>
              <w:t>1.005694</w:t>
            </w:r>
          </w:p>
        </w:tc>
      </w:tr>
      <w:tr w:rsidR="007B4F0A" w14:paraId="17B93676" w14:textId="77777777" w:rsidTr="0039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22460CBD" w14:textId="77777777" w:rsidR="007B4F0A" w:rsidRDefault="007B4F0A" w:rsidP="001232F3">
            <w:pPr>
              <w:pStyle w:val="ListBullet"/>
              <w:numPr>
                <w:ilvl w:val="0"/>
                <w:numId w:val="0"/>
              </w:numPr>
              <w:rPr>
                <w:b w:val="0"/>
                <w:bCs w:val="0"/>
                <w:caps w:val="0"/>
              </w:rPr>
            </w:pPr>
            <w:r>
              <w:t>HIP/KNEE REPLACEMENT SURGERY</w:t>
            </w:r>
          </w:p>
          <w:p w14:paraId="1A42C711" w14:textId="452F1A6C" w:rsidR="007B4F0A" w:rsidRDefault="007B4F0A" w:rsidP="001232F3">
            <w:pPr>
              <w:pStyle w:val="ListBullet"/>
              <w:numPr>
                <w:ilvl w:val="0"/>
                <w:numId w:val="0"/>
              </w:numPr>
            </w:pPr>
            <w:r>
              <w:t>[HIP_KNEE]</w:t>
            </w:r>
          </w:p>
        </w:tc>
        <w:tc>
          <w:tcPr>
            <w:tcW w:w="5112" w:type="dxa"/>
            <w:shd w:val="clear" w:color="auto" w:fill="FCEAA6" w:themeFill="accent4" w:themeFillTint="66"/>
          </w:tcPr>
          <w:p w14:paraId="60C58243" w14:textId="77777777" w:rsidR="007B4F0A" w:rsidRDefault="007B4F0A" w:rsidP="007B4F0A">
            <w:pPr>
              <w:pStyle w:val="ListBullet"/>
              <w:numPr>
                <w:ilvl w:val="0"/>
                <w:numId w:val="0"/>
              </w:numPr>
              <w:spacing w:before="120"/>
              <w:jc w:val="center"/>
              <w:cnfStyle w:val="000000100000" w:firstRow="0" w:lastRow="0" w:firstColumn="0" w:lastColumn="0" w:oddVBand="0" w:evenVBand="0" w:oddHBand="1" w:evenHBand="0" w:firstRowFirstColumn="0" w:firstRowLastColumn="0" w:lastRowFirstColumn="0" w:lastRowLastColumn="0"/>
            </w:pPr>
          </w:p>
          <w:p w14:paraId="0EDB8CE7" w14:textId="589FD7F5" w:rsidR="007B4F0A" w:rsidRDefault="007B4F0A" w:rsidP="007B4F0A">
            <w:pPr>
              <w:pStyle w:val="ListBullet"/>
              <w:numPr>
                <w:ilvl w:val="0"/>
                <w:numId w:val="0"/>
              </w:numPr>
              <w:spacing w:before="120"/>
              <w:jc w:val="center"/>
              <w:cnfStyle w:val="000000100000" w:firstRow="0" w:lastRow="0" w:firstColumn="0" w:lastColumn="0" w:oddVBand="0" w:evenVBand="0" w:oddHBand="1" w:evenHBand="0" w:firstRowFirstColumn="0" w:firstRowLastColumn="0" w:lastRowFirstColumn="0" w:lastRowLastColumn="0"/>
            </w:pPr>
            <w:r>
              <w:t>1.022134</w:t>
            </w:r>
          </w:p>
        </w:tc>
      </w:tr>
      <w:tr w:rsidR="007B4F0A" w14:paraId="2D92EF1C" w14:textId="77777777" w:rsidTr="0039070E">
        <w:tc>
          <w:tcPr>
            <w:cnfStyle w:val="001000000000" w:firstRow="0" w:lastRow="0" w:firstColumn="1" w:lastColumn="0" w:oddVBand="0" w:evenVBand="0" w:oddHBand="0" w:evenHBand="0" w:firstRowFirstColumn="0" w:firstRowLastColumn="0" w:lastRowFirstColumn="0" w:lastRowLastColumn="0"/>
            <w:tcW w:w="5112" w:type="dxa"/>
          </w:tcPr>
          <w:p w14:paraId="41A0DF44" w14:textId="77777777" w:rsidR="007B4F0A" w:rsidRDefault="007B4F0A" w:rsidP="001232F3">
            <w:pPr>
              <w:pStyle w:val="ListBullet"/>
              <w:numPr>
                <w:ilvl w:val="0"/>
                <w:numId w:val="0"/>
              </w:numPr>
              <w:rPr>
                <w:b w:val="0"/>
                <w:bCs w:val="0"/>
                <w:caps w:val="0"/>
              </w:rPr>
            </w:pPr>
            <w:r>
              <w:t>CORON. ART. BYPASS GRAFT SURGERY</w:t>
            </w:r>
          </w:p>
          <w:p w14:paraId="376B1DB7" w14:textId="017C6A5A" w:rsidR="007B4F0A" w:rsidRDefault="007B4F0A" w:rsidP="001232F3">
            <w:pPr>
              <w:pStyle w:val="ListBullet"/>
              <w:numPr>
                <w:ilvl w:val="0"/>
                <w:numId w:val="0"/>
              </w:numPr>
            </w:pPr>
            <w:r>
              <w:t>[CABG]</w:t>
            </w:r>
          </w:p>
        </w:tc>
        <w:tc>
          <w:tcPr>
            <w:tcW w:w="5112" w:type="dxa"/>
            <w:shd w:val="clear" w:color="auto" w:fill="FCEAA6" w:themeFill="accent4" w:themeFillTint="66"/>
          </w:tcPr>
          <w:p w14:paraId="56F498B6" w14:textId="77777777" w:rsidR="007B4F0A" w:rsidRDefault="007B4F0A" w:rsidP="007B4F0A">
            <w:pPr>
              <w:pStyle w:val="ListBullet"/>
              <w:numPr>
                <w:ilvl w:val="0"/>
                <w:numId w:val="0"/>
              </w:numPr>
              <w:spacing w:before="120"/>
              <w:jc w:val="center"/>
              <w:cnfStyle w:val="000000000000" w:firstRow="0" w:lastRow="0" w:firstColumn="0" w:lastColumn="0" w:oddVBand="0" w:evenVBand="0" w:oddHBand="0" w:evenHBand="0" w:firstRowFirstColumn="0" w:firstRowLastColumn="0" w:lastRowFirstColumn="0" w:lastRowLastColumn="0"/>
            </w:pPr>
          </w:p>
          <w:p w14:paraId="235FCEF2" w14:textId="2D27F50B" w:rsidR="007B4F0A" w:rsidRDefault="007B4F0A" w:rsidP="007B4F0A">
            <w:pPr>
              <w:pStyle w:val="ListBullet"/>
              <w:numPr>
                <w:ilvl w:val="0"/>
                <w:numId w:val="0"/>
              </w:numPr>
              <w:spacing w:before="120"/>
              <w:jc w:val="center"/>
              <w:cnfStyle w:val="000000000000" w:firstRow="0" w:lastRow="0" w:firstColumn="0" w:lastColumn="0" w:oddVBand="0" w:evenVBand="0" w:oddHBand="0" w:evenHBand="0" w:firstRowFirstColumn="0" w:firstRowLastColumn="0" w:lastRowFirstColumn="0" w:lastRowLastColumn="0"/>
            </w:pPr>
            <w:r>
              <w:t>1.022244</w:t>
            </w:r>
          </w:p>
        </w:tc>
      </w:tr>
    </w:tbl>
    <w:p w14:paraId="7FEB0481" w14:textId="2AB15F99" w:rsidR="00823202" w:rsidRDefault="00823202" w:rsidP="001232F3">
      <w:pPr>
        <w:pStyle w:val="ListBullet"/>
        <w:numPr>
          <w:ilvl w:val="0"/>
          <w:numId w:val="0"/>
        </w:numPr>
      </w:pPr>
    </w:p>
    <w:p w14:paraId="71AD2D1F" w14:textId="568A3015" w:rsidR="0039070E" w:rsidRDefault="00EF512F" w:rsidP="00EF512F">
      <w:pPr>
        <w:pStyle w:val="ListBullet"/>
        <w:numPr>
          <w:ilvl w:val="0"/>
          <w:numId w:val="0"/>
        </w:numPr>
        <w:jc w:val="center"/>
        <w:rPr>
          <w:i/>
          <w:iCs/>
        </w:rPr>
      </w:pPr>
      <w:r>
        <w:rPr>
          <w:i/>
          <w:iCs/>
        </w:rPr>
        <w:t xml:space="preserve">Figure </w:t>
      </w:r>
      <w:r w:rsidR="007D3BA5">
        <w:rPr>
          <w:i/>
          <w:iCs/>
        </w:rPr>
        <w:t>6</w:t>
      </w:r>
    </w:p>
    <w:p w14:paraId="296E97CC" w14:textId="1B167978" w:rsidR="00EF512F" w:rsidRDefault="00EF512F" w:rsidP="00EF512F">
      <w:pPr>
        <w:pStyle w:val="ListBullet"/>
        <w:numPr>
          <w:ilvl w:val="0"/>
          <w:numId w:val="0"/>
        </w:numPr>
      </w:pPr>
      <w:r>
        <w:lastRenderedPageBreak/>
        <w:t xml:space="preserve">Figure </w:t>
      </w:r>
      <w:r w:rsidR="007D3BA5">
        <w:t>6</w:t>
      </w:r>
      <w:r>
        <w:t xml:space="preserve">, procedures as viewed by the mean, indicate that </w:t>
      </w:r>
      <w:r>
        <w:rPr>
          <w:i/>
          <w:iCs/>
        </w:rPr>
        <w:t>corrective</w:t>
      </w:r>
      <w:r>
        <w:t xml:space="preserve"> procedures have the highest </w:t>
      </w:r>
      <w:r>
        <w:rPr>
          <w:i/>
          <w:iCs/>
        </w:rPr>
        <w:t>average</w:t>
      </w:r>
      <w:r>
        <w:t xml:space="preserve"> likelihood for readmissions post-procedure. This is a manual process that is prone to human error as this can vary by surgeon to surgeon, as well as, a</w:t>
      </w:r>
      <w:r w:rsidR="007D3BA5">
        <w:t>n indicator that the given physical property has failed within that patient. The remaining processes can, and often are, treated with non-invasive allopathic methods.</w:t>
      </w:r>
    </w:p>
    <w:p w14:paraId="6F958D77" w14:textId="6CC25406" w:rsidR="007D3BA5" w:rsidRDefault="007D3BA5" w:rsidP="00EF512F">
      <w:pPr>
        <w:pStyle w:val="ListBullet"/>
        <w:numPr>
          <w:ilvl w:val="0"/>
          <w:numId w:val="0"/>
        </w:numPr>
      </w:pPr>
      <w:r>
        <w:rPr>
          <w:noProof/>
        </w:rPr>
        <w:drawing>
          <wp:inline distT="0" distB="0" distL="0" distR="0" wp14:anchorId="62FCFBD0" wp14:editId="5F1B5E03">
            <wp:extent cx="6485890" cy="4954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5890" cy="4954905"/>
                    </a:xfrm>
                    <a:prstGeom prst="rect">
                      <a:avLst/>
                    </a:prstGeom>
                    <a:noFill/>
                    <a:ln>
                      <a:noFill/>
                    </a:ln>
                  </pic:spPr>
                </pic:pic>
              </a:graphicData>
            </a:graphic>
          </wp:inline>
        </w:drawing>
      </w:r>
    </w:p>
    <w:p w14:paraId="761E686E" w14:textId="673514D7" w:rsidR="007D3BA5" w:rsidRDefault="007D3BA5" w:rsidP="007D3BA5">
      <w:pPr>
        <w:pStyle w:val="ListBullet"/>
        <w:numPr>
          <w:ilvl w:val="0"/>
          <w:numId w:val="0"/>
        </w:numPr>
        <w:jc w:val="center"/>
        <w:rPr>
          <w:i/>
          <w:iCs/>
        </w:rPr>
      </w:pPr>
      <w:r>
        <w:rPr>
          <w:i/>
          <w:iCs/>
        </w:rPr>
        <w:t>Figure 7</w:t>
      </w:r>
    </w:p>
    <w:p w14:paraId="7A6D6BF8" w14:textId="2F431C31" w:rsidR="007D3BA5" w:rsidRDefault="007D3BA5" w:rsidP="007D3BA5">
      <w:pPr>
        <w:pStyle w:val="ListBullet"/>
        <w:numPr>
          <w:ilvl w:val="0"/>
          <w:numId w:val="0"/>
        </w:numPr>
      </w:pPr>
      <w:r>
        <w:t xml:space="preserve">Figure 7, </w:t>
      </w:r>
      <w:r w:rsidR="00150052">
        <w:t>readmission ratios by a given procedure, observe that heart failure and pneumonia both indicate a lower likelihood of readmission. If the care is rendered at a hospital that treats that specific process at a high frequency.</w:t>
      </w:r>
    </w:p>
    <w:p w14:paraId="6D087759" w14:textId="78D78ED5" w:rsidR="007D3BA5" w:rsidRDefault="007D3BA5" w:rsidP="007D3BA5">
      <w:pPr>
        <w:pStyle w:val="ListBullet"/>
        <w:numPr>
          <w:ilvl w:val="0"/>
          <w:numId w:val="0"/>
        </w:numPr>
      </w:pPr>
    </w:p>
    <w:p w14:paraId="008F8B2D" w14:textId="0CB57E54" w:rsidR="007D3BA5" w:rsidRDefault="007D3BA5" w:rsidP="007D3BA5">
      <w:pPr>
        <w:pStyle w:val="ListBullet"/>
        <w:numPr>
          <w:ilvl w:val="0"/>
          <w:numId w:val="0"/>
        </w:numPr>
      </w:pPr>
      <w:r>
        <w:rPr>
          <w:noProof/>
        </w:rPr>
        <w:lastRenderedPageBreak/>
        <w:drawing>
          <wp:inline distT="0" distB="0" distL="0" distR="0" wp14:anchorId="13FACC70" wp14:editId="0BCDE905">
            <wp:extent cx="6485890" cy="4954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5890" cy="4954905"/>
                    </a:xfrm>
                    <a:prstGeom prst="rect">
                      <a:avLst/>
                    </a:prstGeom>
                    <a:noFill/>
                    <a:ln>
                      <a:noFill/>
                    </a:ln>
                  </pic:spPr>
                </pic:pic>
              </a:graphicData>
            </a:graphic>
          </wp:inline>
        </w:drawing>
      </w:r>
    </w:p>
    <w:p w14:paraId="29BC20A1" w14:textId="3C9D5AB8" w:rsidR="007D3BA5" w:rsidRDefault="007D3BA5" w:rsidP="007D3BA5">
      <w:pPr>
        <w:pStyle w:val="ListBullet"/>
        <w:numPr>
          <w:ilvl w:val="0"/>
          <w:numId w:val="0"/>
        </w:numPr>
        <w:jc w:val="center"/>
        <w:rPr>
          <w:i/>
          <w:iCs/>
        </w:rPr>
      </w:pPr>
      <w:r>
        <w:rPr>
          <w:i/>
          <w:iCs/>
        </w:rPr>
        <w:t>figure 8</w:t>
      </w:r>
    </w:p>
    <w:p w14:paraId="7BAE134A" w14:textId="5C732D07" w:rsidR="00150052" w:rsidRPr="00150052" w:rsidRDefault="00150052" w:rsidP="00150052">
      <w:pPr>
        <w:pStyle w:val="ListBullet"/>
        <w:numPr>
          <w:ilvl w:val="0"/>
          <w:numId w:val="0"/>
        </w:numPr>
      </w:pPr>
      <w:r>
        <w:t xml:space="preserve">Figure 8, reflects the readmission trends for all of Illinois. As observed, the trends observed within Illinois indicate that on average across all procedures </w:t>
      </w:r>
      <w:r w:rsidR="00AA141A">
        <w:t>one can expect a lower likelihood of readmission. It is worth noting that CABG and hip/knee procedures exceed the significant threshold of 1.2 for readmissions if total discharges are less than 1500.</w:t>
      </w:r>
    </w:p>
    <w:p w14:paraId="6554569C" w14:textId="7AC28301" w:rsidR="007D3BA5" w:rsidRDefault="00150052" w:rsidP="007D3BA5">
      <w:pPr>
        <w:pStyle w:val="ListBullet"/>
        <w:numPr>
          <w:ilvl w:val="0"/>
          <w:numId w:val="0"/>
        </w:numPr>
        <w:jc w:val="center"/>
        <w:rPr>
          <w:i/>
          <w:iCs/>
        </w:rPr>
      </w:pPr>
      <w:r>
        <w:rPr>
          <w:i/>
          <w:iCs/>
          <w:noProof/>
        </w:rPr>
        <w:lastRenderedPageBreak/>
        <w:drawing>
          <wp:inline distT="0" distB="0" distL="0" distR="0" wp14:anchorId="0F2CDCE1" wp14:editId="0B29915A">
            <wp:extent cx="6496685" cy="316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685" cy="3168650"/>
                    </a:xfrm>
                    <a:prstGeom prst="rect">
                      <a:avLst/>
                    </a:prstGeom>
                    <a:noFill/>
                    <a:ln>
                      <a:noFill/>
                    </a:ln>
                  </pic:spPr>
                </pic:pic>
              </a:graphicData>
            </a:graphic>
          </wp:inline>
        </w:drawing>
      </w:r>
    </w:p>
    <w:p w14:paraId="1328BD32" w14:textId="0928C03C" w:rsidR="00150052" w:rsidRDefault="00150052" w:rsidP="007D3BA5">
      <w:pPr>
        <w:pStyle w:val="ListBullet"/>
        <w:numPr>
          <w:ilvl w:val="0"/>
          <w:numId w:val="0"/>
        </w:numPr>
        <w:jc w:val="center"/>
        <w:rPr>
          <w:i/>
          <w:iCs/>
        </w:rPr>
      </w:pPr>
      <w:r>
        <w:rPr>
          <w:i/>
          <w:iCs/>
        </w:rPr>
        <w:t>Figure 9</w:t>
      </w:r>
    </w:p>
    <w:p w14:paraId="7B6383C7" w14:textId="5D025ABF" w:rsidR="00AA141A" w:rsidRPr="00695837" w:rsidRDefault="00AA141A" w:rsidP="00AA141A">
      <w:pPr>
        <w:pStyle w:val="ListBullet"/>
        <w:numPr>
          <w:ilvl w:val="0"/>
          <w:numId w:val="0"/>
        </w:numPr>
      </w:pPr>
      <w:r>
        <w:t>Figure 9,</w:t>
      </w:r>
      <w:r w:rsidR="00695837">
        <w:t xml:space="preserve"> visualization of variance between procedures by </w:t>
      </w:r>
      <w:r w:rsidR="00695837">
        <w:rPr>
          <w:i/>
          <w:iCs/>
        </w:rPr>
        <w:t>size</w:t>
      </w:r>
      <w:r w:rsidR="00695837">
        <w:t xml:space="preserve"> of service, e.g. the level and resources expended to stabilize a patient well enough to qualify for discharge. We see that with minimal care for these procedures there’s a larger readmission ratio, one can suspect this can be attributed to the current model of medicine</w:t>
      </w:r>
      <w:r w:rsidR="00CE6E69">
        <w:t>,</w:t>
      </w:r>
      <w:r w:rsidR="00695837">
        <w:t xml:space="preserve"> th</w:t>
      </w:r>
      <w:r w:rsidR="00CE6E69">
        <w:t>is approach</w:t>
      </w:r>
      <w:r w:rsidR="00695837">
        <w:t xml:space="preserve"> has favored a graduated approach in treatment. </w:t>
      </w:r>
    </w:p>
    <w:p w14:paraId="637D064F" w14:textId="77777777" w:rsidR="00AA141A" w:rsidRPr="00AA141A" w:rsidRDefault="00AA141A" w:rsidP="00AA141A">
      <w:pPr>
        <w:pStyle w:val="ListBullet"/>
        <w:numPr>
          <w:ilvl w:val="0"/>
          <w:numId w:val="0"/>
        </w:numPr>
      </w:pPr>
    </w:p>
    <w:p w14:paraId="02F0B3EA" w14:textId="31B1D055" w:rsidR="00150052" w:rsidRDefault="00150052" w:rsidP="007D3BA5">
      <w:pPr>
        <w:pStyle w:val="ListBullet"/>
        <w:numPr>
          <w:ilvl w:val="0"/>
          <w:numId w:val="0"/>
        </w:numPr>
        <w:jc w:val="center"/>
        <w:rPr>
          <w:i/>
          <w:iCs/>
        </w:rPr>
      </w:pPr>
      <w:r>
        <w:rPr>
          <w:i/>
          <w:iCs/>
          <w:noProof/>
        </w:rPr>
        <w:lastRenderedPageBreak/>
        <w:drawing>
          <wp:inline distT="0" distB="0" distL="0" distR="0" wp14:anchorId="0CBCEDAC" wp14:editId="395F65CA">
            <wp:extent cx="6496685" cy="316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685" cy="3168650"/>
                    </a:xfrm>
                    <a:prstGeom prst="rect">
                      <a:avLst/>
                    </a:prstGeom>
                    <a:noFill/>
                    <a:ln>
                      <a:noFill/>
                    </a:ln>
                  </pic:spPr>
                </pic:pic>
              </a:graphicData>
            </a:graphic>
          </wp:inline>
        </w:drawing>
      </w:r>
    </w:p>
    <w:p w14:paraId="0D922107" w14:textId="5DE7DFCB" w:rsidR="00150052" w:rsidRDefault="00150052" w:rsidP="007D3BA5">
      <w:pPr>
        <w:pStyle w:val="ListBullet"/>
        <w:numPr>
          <w:ilvl w:val="0"/>
          <w:numId w:val="0"/>
        </w:numPr>
        <w:jc w:val="center"/>
        <w:rPr>
          <w:i/>
          <w:iCs/>
        </w:rPr>
      </w:pPr>
      <w:r>
        <w:rPr>
          <w:i/>
          <w:iCs/>
        </w:rPr>
        <w:t>Figure 10</w:t>
      </w:r>
    </w:p>
    <w:p w14:paraId="23816582" w14:textId="0BFAF93C" w:rsidR="00AA141A" w:rsidRDefault="00AA141A" w:rsidP="00AA141A">
      <w:pPr>
        <w:pStyle w:val="ListBullet"/>
        <w:numPr>
          <w:ilvl w:val="0"/>
          <w:numId w:val="0"/>
        </w:numPr>
      </w:pPr>
      <w:r>
        <w:t>Figure 10,</w:t>
      </w:r>
      <w:r w:rsidR="00512381">
        <w:t xml:space="preserve"> bifurcates the procedures group between small sized hospitals and large sized hospitals while accounting for readmission ratios. COPD, heart failure, and pneumonia are the three drivers, there is no major variance between the size of the facility w.r.t. to these </w:t>
      </w:r>
      <w:r w:rsidR="00646376">
        <w:t>primary</w:t>
      </w:r>
      <w:r w:rsidR="00512381">
        <w:t xml:space="preserve"> procedures. The two procedures, both surgical in nature, CABG and hip/knee total replacements have the greatest variance within their respective group</w:t>
      </w:r>
      <w:r w:rsidR="00646376">
        <w:t>,</w:t>
      </w:r>
      <w:r w:rsidR="00512381">
        <w:t xml:space="preserve"> as well as between groups. We can conclude that smaller hospitals have a greater readmission ratio w.r.t. these procedures due to the fact that surgical procedures have an inherent variance from surgery to surgery and surgeon to surgeon, </w:t>
      </w:r>
      <w:r w:rsidR="00646376">
        <w:t>and frequency dictates experience, e.g. larger hospitals staff have greater domain experience. W</w:t>
      </w:r>
      <w:r w:rsidR="00512381">
        <w:t>hereas</w:t>
      </w:r>
      <w:r w:rsidR="00646376">
        <w:t>,</w:t>
      </w:r>
      <w:r w:rsidR="00512381">
        <w:t xml:space="preserve"> the other procedures follow standardized regimes of treatment, we can infer that the readmission variance </w:t>
      </w:r>
      <w:r w:rsidR="00646376">
        <w:t>is not significant between hospitals when grouped by size of the hospital.</w:t>
      </w:r>
    </w:p>
    <w:p w14:paraId="46D94FEE" w14:textId="3C27F764" w:rsidR="00AA141A" w:rsidRDefault="00AA141A" w:rsidP="00AA141A">
      <w:pPr>
        <w:pStyle w:val="Heading2"/>
      </w:pPr>
      <w:r>
        <w:t>conclusion</w:t>
      </w:r>
    </w:p>
    <w:p w14:paraId="21988EF5" w14:textId="02D2A66C" w:rsidR="00AA141A" w:rsidRDefault="00AA141A" w:rsidP="00AA141A">
      <w:pPr>
        <w:pStyle w:val="ListBullet"/>
        <w:numPr>
          <w:ilvl w:val="0"/>
          <w:numId w:val="0"/>
        </w:numPr>
      </w:pPr>
      <w:r>
        <w:t xml:space="preserve">In conclusion, </w:t>
      </w:r>
      <w:r w:rsidR="00133819">
        <w:t xml:space="preserve">smaller hospitals are on par as a group with larger hospitals w.r.t. the procedures that account for the largest proportion of services rendered. Only when we focus on the two procedures that introduce variance of care at the provider level do we see a palpable change in </w:t>
      </w:r>
      <w:r w:rsidR="00133819">
        <w:lastRenderedPageBreak/>
        <w:t>readmissions. This dataset does not include any features that have predictive power if we wanted to reduce readmissions</w:t>
      </w:r>
      <w:r w:rsidR="001C29D8">
        <w:t xml:space="preserve">. At the current granular level, we can only conclude which hospitals perform well versus their counterparts. In addition, we can translate CMS’s “excess readmission ratio” into more easily digestible statistic, the percentage of readmissions. This simple metric can tell one what the likelihood is that a given patient will be admitted. </w:t>
      </w:r>
      <w:r w:rsidR="007C2A65">
        <w:t xml:space="preserve">This early exploratory analysis has shown that current metrics are utilizing a weak correlation, that variance is greatest at the surgical level, and the current data fails to capture the latent variables </w:t>
      </w:r>
      <w:r w:rsidR="00197256">
        <w:t>driving the variance.</w:t>
      </w:r>
      <w:bookmarkStart w:id="0" w:name="_GoBack"/>
      <w:bookmarkEnd w:id="0"/>
    </w:p>
    <w:p w14:paraId="187CB527" w14:textId="033E63CD" w:rsidR="00AA141A" w:rsidRDefault="00AA141A" w:rsidP="00AA141A">
      <w:pPr>
        <w:pStyle w:val="ListBullet"/>
        <w:numPr>
          <w:ilvl w:val="0"/>
          <w:numId w:val="0"/>
        </w:numPr>
      </w:pPr>
    </w:p>
    <w:p w14:paraId="636D5BA4" w14:textId="6AC03C0D" w:rsidR="00AA141A" w:rsidRDefault="00AA141A" w:rsidP="00AA141A">
      <w:pPr>
        <w:pStyle w:val="Heading2"/>
      </w:pPr>
      <w:r>
        <w:t>refrences</w:t>
      </w:r>
    </w:p>
    <w:p w14:paraId="0B875FA8" w14:textId="3FF1323A" w:rsidR="00AA141A" w:rsidRPr="00AA141A" w:rsidRDefault="00AA141A" w:rsidP="00AA141A">
      <w:pPr>
        <w:pStyle w:val="ListBullet"/>
        <w:numPr>
          <w:ilvl w:val="0"/>
          <w:numId w:val="0"/>
        </w:numPr>
      </w:pPr>
      <w:r>
        <w:t>Test blah blah</w:t>
      </w:r>
    </w:p>
    <w:sectPr w:rsidR="00AA141A" w:rsidRPr="00AA141A">
      <w:footerReference w:type="default" r:id="rId15"/>
      <w:footerReference w:type="first" r:id="rId16"/>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44FC5" w14:textId="77777777" w:rsidR="00763EA3" w:rsidRDefault="00763EA3">
      <w:pPr>
        <w:spacing w:before="0" w:after="0" w:line="240" w:lineRule="auto"/>
      </w:pPr>
      <w:r>
        <w:separator/>
      </w:r>
    </w:p>
    <w:p w14:paraId="08C52345" w14:textId="77777777" w:rsidR="00763EA3" w:rsidRDefault="00763EA3"/>
  </w:endnote>
  <w:endnote w:type="continuationSeparator" w:id="0">
    <w:p w14:paraId="66A1D9ED" w14:textId="77777777" w:rsidR="00763EA3" w:rsidRDefault="00763EA3">
      <w:pPr>
        <w:spacing w:before="0" w:after="0" w:line="240" w:lineRule="auto"/>
      </w:pPr>
      <w:r>
        <w:continuationSeparator/>
      </w:r>
    </w:p>
    <w:p w14:paraId="6A325540" w14:textId="77777777" w:rsidR="00763EA3" w:rsidRDefault="00763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41E32D3C" w14:textId="77777777" w:rsidR="00763EA3" w:rsidRDefault="00763EA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FC3A3" w14:textId="27F609EE" w:rsidR="00763EA3" w:rsidRDefault="00763EA3">
    <w:pPr>
      <w:pStyle w:val="Footer"/>
    </w:pPr>
    <w:r>
      <w:t>Dano Aasland, January 8</w:t>
    </w:r>
    <w:r w:rsidRPr="00DD1F2F">
      <w:rPr>
        <w:vertAlign w:val="superscript"/>
      </w:rPr>
      <w:t>th</w:t>
    </w:r>
    <w: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5EC8E" w14:textId="77777777" w:rsidR="00763EA3" w:rsidRDefault="00763EA3">
      <w:pPr>
        <w:spacing w:before="0" w:after="0" w:line="240" w:lineRule="auto"/>
      </w:pPr>
      <w:r>
        <w:separator/>
      </w:r>
    </w:p>
    <w:p w14:paraId="5730F10E" w14:textId="77777777" w:rsidR="00763EA3" w:rsidRDefault="00763EA3"/>
  </w:footnote>
  <w:footnote w:type="continuationSeparator" w:id="0">
    <w:p w14:paraId="10121FAF" w14:textId="77777777" w:rsidR="00763EA3" w:rsidRDefault="00763EA3">
      <w:pPr>
        <w:spacing w:before="0" w:after="0" w:line="240" w:lineRule="auto"/>
      </w:pPr>
      <w:r>
        <w:continuationSeparator/>
      </w:r>
    </w:p>
    <w:p w14:paraId="225635BF" w14:textId="77777777" w:rsidR="00763EA3" w:rsidRDefault="00763E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61C5D"/>
    <w:multiLevelType w:val="hybridMultilevel"/>
    <w:tmpl w:val="9F4A8688"/>
    <w:lvl w:ilvl="0" w:tplc="ABE84DA8">
      <w:start w:val="1"/>
      <w:numFmt w:val="bullet"/>
      <w:pStyle w:val="ListBullet"/>
      <w:lvlText w:val=""/>
      <w:lvlJc w:val="left"/>
      <w:pPr>
        <w:tabs>
          <w:tab w:val="num" w:pos="1530"/>
        </w:tabs>
        <w:ind w:left="15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8"/>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7"/>
    <w:rsid w:val="0000795A"/>
    <w:rsid w:val="001232F3"/>
    <w:rsid w:val="00133819"/>
    <w:rsid w:val="00150052"/>
    <w:rsid w:val="00197256"/>
    <w:rsid w:val="001C29D8"/>
    <w:rsid w:val="00216752"/>
    <w:rsid w:val="00227DF5"/>
    <w:rsid w:val="002D22E0"/>
    <w:rsid w:val="002F77EB"/>
    <w:rsid w:val="003008EC"/>
    <w:rsid w:val="003112E5"/>
    <w:rsid w:val="0039070E"/>
    <w:rsid w:val="00512381"/>
    <w:rsid w:val="00646376"/>
    <w:rsid w:val="00695837"/>
    <w:rsid w:val="0075279C"/>
    <w:rsid w:val="00763EA3"/>
    <w:rsid w:val="00774D87"/>
    <w:rsid w:val="007B4F0A"/>
    <w:rsid w:val="007C2A65"/>
    <w:rsid w:val="007D3BA5"/>
    <w:rsid w:val="00823202"/>
    <w:rsid w:val="009F5E2B"/>
    <w:rsid w:val="00A10BCB"/>
    <w:rsid w:val="00A969E7"/>
    <w:rsid w:val="00AA141A"/>
    <w:rsid w:val="00B71C13"/>
    <w:rsid w:val="00BD0CC4"/>
    <w:rsid w:val="00C52FC2"/>
    <w:rsid w:val="00CE6E69"/>
    <w:rsid w:val="00D4304F"/>
    <w:rsid w:val="00D651B9"/>
    <w:rsid w:val="00DD1F2F"/>
    <w:rsid w:val="00E53907"/>
    <w:rsid w:val="00EC0F68"/>
    <w:rsid w:val="00EC5313"/>
    <w:rsid w:val="00EF512F"/>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6CC4"/>
  <w15:chartTrackingRefBased/>
  <w15:docId w15:val="{B8615362-B9D0-4EBB-8EE5-42246896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tabs>
        <w:tab w:val="clear" w:pos="1530"/>
        <w:tab w:val="num" w:pos="936"/>
      </w:tabs>
      <w:ind w:left="936"/>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table" w:styleId="PlainTable3">
    <w:name w:val="Plain Table 3"/>
    <w:basedOn w:val="TableNormal"/>
    <w:uiPriority w:val="43"/>
    <w:rsid w:val="00BD0C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527758">
      <w:bodyDiv w:val="1"/>
      <w:marLeft w:val="0"/>
      <w:marRight w:val="0"/>
      <w:marTop w:val="0"/>
      <w:marBottom w:val="0"/>
      <w:divBdr>
        <w:top w:val="none" w:sz="0" w:space="0" w:color="auto"/>
        <w:left w:val="none" w:sz="0" w:space="0" w:color="auto"/>
        <w:bottom w:val="none" w:sz="0" w:space="0" w:color="auto"/>
        <w:right w:val="none" w:sz="0" w:space="0" w:color="auto"/>
      </w:divBdr>
      <w:divsChild>
        <w:div w:id="1349680072">
          <w:marLeft w:val="0"/>
          <w:marRight w:val="0"/>
          <w:marTop w:val="0"/>
          <w:marBottom w:val="0"/>
          <w:divBdr>
            <w:top w:val="none" w:sz="0" w:space="0" w:color="auto"/>
            <w:left w:val="none" w:sz="0" w:space="0" w:color="auto"/>
            <w:bottom w:val="none" w:sz="0" w:space="0" w:color="auto"/>
            <w:right w:val="none" w:sz="0" w:space="0" w:color="auto"/>
          </w:divBdr>
          <w:divsChild>
            <w:div w:id="1805655134">
              <w:marLeft w:val="0"/>
              <w:marRight w:val="0"/>
              <w:marTop w:val="0"/>
              <w:marBottom w:val="0"/>
              <w:divBdr>
                <w:top w:val="none" w:sz="0" w:space="0" w:color="auto"/>
                <w:left w:val="none" w:sz="0" w:space="0" w:color="auto"/>
                <w:bottom w:val="none" w:sz="0" w:space="0" w:color="auto"/>
                <w:right w:val="none" w:sz="0" w:space="0" w:color="auto"/>
              </w:divBdr>
              <w:divsChild>
                <w:div w:id="1016343121">
                  <w:marLeft w:val="0"/>
                  <w:marRight w:val="0"/>
                  <w:marTop w:val="0"/>
                  <w:marBottom w:val="0"/>
                  <w:divBdr>
                    <w:top w:val="single" w:sz="6" w:space="0" w:color="CFCFCF"/>
                    <w:left w:val="single" w:sz="6" w:space="0" w:color="CFCFCF"/>
                    <w:bottom w:val="single" w:sz="6" w:space="0" w:color="CFCFCF"/>
                    <w:right w:val="single" w:sz="6" w:space="0" w:color="CFCFCF"/>
                  </w:divBdr>
                  <w:divsChild>
                    <w:div w:id="155346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SL\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18E2-2EDD-4494-BE2B-180A04AC6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1433</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Dano Aasland</dc:creator>
  <cp:keywords/>
  <dc:description/>
  <cp:lastModifiedBy>Dano Aasland</cp:lastModifiedBy>
  <cp:revision>1</cp:revision>
  <dcterms:created xsi:type="dcterms:W3CDTF">2020-01-08T07:24:00Z</dcterms:created>
  <dcterms:modified xsi:type="dcterms:W3CDTF">2020-01-09T07:17:00Z</dcterms:modified>
</cp:coreProperties>
</file>