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default" r:id="rId9"/>
      <w:footerReference w:type="default" r:id="rId10"/>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C97596">
      <w:rPr>
        <w:rStyle w:val="PageNumber"/>
        <w:noProof/>
        <w:sz w:val="16"/>
      </w:rPr>
      <w:t>3</w:t>
    </w:r>
    <w:r>
      <w:rPr>
        <w:rStyle w:val="PageNumber"/>
        <w:sz w:val="16"/>
      </w:rPr>
      <w:fldChar w:fldCharType="end"/>
    </w:r>
  </w:p>
  <w:p w:rsidR="00420B35" w:rsidRDefault="00C97596"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p>
  <w:p w:rsidR="00420B35" w:rsidRDefault="00420B3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A36428"/>
    <w:pPr>
      <w:spacing w:before="240"/>
      <w:jc w:val="center"/>
    </w:pPr>
    <w:rPr>
      <w:rFonts w:asciiTheme="majorHAnsi" w:eastAsiaTheme="majorEastAsia" w:hAnsiTheme="majorHAnsi" w:cstheme="majorBidi"/>
      <w:spacing w:val="-10"/>
      <w:kern w:val="28"/>
      <w:sz w:val="30"/>
      <w:szCs w:val="30"/>
      <w:lang w:val="es-CL"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68</Words>
  <Characters>367</Characters>
  <Application>Microsoft Office Word</Application>
  <DocSecurity>0</DocSecurity>
  <Lines>14</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2019-08-08T18:22:10Z</dcterms:created>
  <dcterms:modified xsi:type="dcterms:W3CDTF">2019-08-08T18:22:10Z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tatus">
    <vt:lpwstr>statusTest</vt:lpwstr>
  </property>
  <property fmtid="{D5CDD505-2E9C-101B-9397-08002B2CF9AE}" pid="7" name="toc">
    <vt:lpwstr>True</vt:lpwstr>
  </property>
  <property fmtid="{D5CDD505-2E9C-101B-9397-08002B2CF9AE}" pid="8" name="toc-title">
    <vt:lpwstr>Tabla de contenidos</vt:lpwstr>
  </property>
</Properties>
</file>