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jc w:val="center"/>
      </w:pPr>
      <w:r>
        <w:rPr>
          <w:rFonts w:ascii="Calibri" w:hAnsi="Calibri" w:eastAsia="Calibri" w:cs="Calibri"/>
          <w:color w:val="17365D"/>
          <w:sz w:val="46"/>
          <w:szCs w:val="52"/>
        </w:rPr>
        <w:t>Danoishan Sinnathamby</w:t>
      </w:r>
    </w:p>
    <w:p>
      <w:pPr>
        <w:spacing w:before="0" w:after="60" w:line="240" w:lineRule="auto"/>
        <w:pBdr>
          <w:bottom w:val="single" w:sz="8" w:space="1" w:color="4F81BD"/>
        </w:pBdr>
      </w:pPr>
    </w:p>
    <w:p>
      <w:pPr>
        <w:spacing w:before="0" w:after="120" w:line="240" w:lineRule="auto"/>
        <w:jc w:val="center"/>
      </w:pPr>
      <w:r>
        <w:rPr>
          <w:rFonts w:ascii="Calibri" w:hAnsi="Calibri" w:eastAsia="Calibri" w:cs="Calibri"/>
          <w:sz w:val="18"/>
          <w:szCs w:val="18"/>
        </w:rPr>
        <w:t xml:space="preserve">Toronto, Ontario, Canada | 647-467-6986 | </w:t>
      </w:r>
      <w:hyperlink r:id="rId9">
        <w:r>
          <w:rPr>
            <w:color w:val="0000EE"/>
            <w:u w:val="single"/>
            <w:rFonts w:ascii="Calibri" w:hAnsi="Calibri" w:eastAsia="Calibri" w:cs="Calibri"/>
            <w:sz w:val="18"/>
            <w:szCs w:val="18"/>
          </w:rPr>
          <w:t>danoishan@gmail.com</w:t>
        </w:r>
      </w:hyperlink>
      <w:r>
        <w:rPr>
          <w:rFonts w:ascii="Calibri" w:hAnsi="Calibri" w:eastAsia="Calibri" w:cs="Calibri"/>
          <w:sz w:val="18"/>
          <w:szCs w:val="18"/>
        </w:rPr>
        <w:t xml:space="preserve"> | </w:t>
      </w:r>
      <w:hyperlink r:id="rId10">
        <w:r>
          <w:rPr>
            <w:color w:val="0000EE"/>
            <w:u w:val="single"/>
            <w:rFonts w:ascii="Calibri" w:hAnsi="Calibri" w:eastAsia="Calibri" w:cs="Calibri"/>
            <w:sz w:val="18"/>
            <w:szCs w:val="18"/>
          </w:rPr>
          <w:t>linkedin.com/in/danoishan</w:t>
        </w:r>
      </w:hyperlink>
      <w:r>
        <w:rPr>
          <w:rFonts w:ascii="Calibri" w:hAnsi="Calibri" w:eastAsia="Calibri" w:cs="Calibri"/>
          <w:sz w:val="18"/>
          <w:szCs w:val="18"/>
        </w:rPr>
        <w:t xml:space="preserve"> | </w:t>
      </w:r>
      <w:hyperlink r:id="rId11">
        <w:r>
          <w:rPr>
            <w:color w:val="0000EE"/>
            <w:u w:val="single"/>
            <w:rFonts w:ascii="Calibri" w:hAnsi="Calibri" w:eastAsia="Calibri" w:cs="Calibri"/>
            <w:sz w:val="18"/>
            <w:szCs w:val="18"/>
          </w:rPr>
          <w:t>danoishan.github.io</w:t>
        </w:r>
      </w:hyperlink>
    </w:p>
    <w:p>
      <w:pPr>
        <w:keepNext/>
        <w:spacing w:before="140" w:after="100" w:line="240" w:lineRule="auto"/>
      </w:pPr>
      <w:r>
        <w:rPr>
          <w:rFonts w:ascii="Calibri" w:hAnsi="Calibri" w:eastAsia="Calibri" w:cs="Calibri"/>
          <w:b/>
          <w:color w:val="4F81BD"/>
          <w:sz w:val="24"/>
          <w:szCs w:val="24"/>
        </w:rPr>
        <w:t>Professional Summary</w:t>
      </w:r>
    </w:p>
    <w:p>
      <w:pPr>
        <w:spacing w:before="0" w:after="160" w:line="240" w:lineRule="exact"/>
      </w:pPr>
      <w:r>
        <w:rPr>
          <w:rFonts w:ascii="Calibri" w:hAnsi="Calibri" w:eastAsia="Calibri" w:cs="Calibri"/>
          <w:color w:val="111111"/>
          <w:sz w:val="18"/>
          <w:szCs w:val="18"/>
        </w:rPr>
        <w:t>Client-facing Technical Project Manager with 7+ years leading enterprise CRM, lifecycle marketing, and MarTech programs across agency and client environments. Manage initiatives from discovery and scoping through solution planning, sprint coordination, QA/UAT, launch, and optimization, with ownership of budgets, resourcing, risks, dependencies, and executive communication. Experience spans Salesforce Marketing Cloud, Marketing Cloud Next, Salesforce Data 360, Braze, SQL-based audience validation, and API-driven automation.</w:t>
      </w:r>
    </w:p>
    <w:p>
      <w:pPr>
        <w:keepNext/>
        <w:spacing w:before="180" w:after="100" w:line="240" w:lineRule="auto"/>
      </w:pPr>
      <w:r>
        <w:rPr>
          <w:rFonts w:ascii="Calibri" w:hAnsi="Calibri" w:eastAsia="Calibri" w:cs="Calibri"/>
          <w:b/>
          <w:color w:val="4F81BD"/>
          <w:sz w:val="24"/>
          <w:szCs w:val="24"/>
        </w:rPr>
        <w:t>Core Competencies</w:t>
      </w:r>
    </w:p>
    <w:tbl>
      <w:tblPr>
        <w:tblW w:type="auto" w:w="0"/>
        <w:jc w:val="center"/>
        <w:tblLayout w:type="autofit"/>
        <w:tblLook w:firstColumn="1" w:firstRow="1" w:lastColumn="0" w:lastRow="0" w:noHBand="0" w:noVBand="1" w:val="04A0"/>
      </w:tblPr>
      <w:tblGrid>
        <w:gridCol w:w="5429"/>
        <w:gridCol w:w="5429"/>
      </w:tblGrid>
      <w:tr>
        <w:tc>
          <w:tcPr>
            <w:tcW w:type="dxa" w:w="5429"/>
            <w:tcMar>
              <w:top w:w="0" w:type="dxa"/>
              <w:start w:w="20" w:type="dxa"/>
              <w:bottom w:w="0" w:type="dxa"/>
              <w:end w:w="20" w:type="dxa"/>
            </w:tcMar>
            <w:vAlign w:val="top"/>
          </w:tcPr>
          <w:p>
            <w:pPr>
              <w:pStyle w:val="ListBullet"/>
              <w:spacing w:after="46" w:line="220" w:lineRule="exact"/>
              <w:ind w:left="720" w:hanging="360"/>
            </w:pPr>
            <w:r>
              <w:rPr>
                <w:rFonts w:ascii="Calibri" w:hAnsi="Calibri" w:eastAsia="Calibri" w:cs="Calibri"/>
                <w:color w:val="111111"/>
                <w:sz w:val="18"/>
                <w:szCs w:val="18"/>
              </w:rPr>
              <w:t>Technical Project &amp; Program Delivery</w:t>
            </w:r>
          </w:p>
          <w:p>
            <w:pPr>
              <w:pStyle w:val="ListBullet"/>
              <w:spacing w:after="46" w:line="220" w:lineRule="exact"/>
              <w:ind w:left="720" w:hanging="360"/>
            </w:pPr>
            <w:r>
              <w:rPr>
                <w:rFonts w:ascii="Calibri" w:hAnsi="Calibri" w:eastAsia="Calibri" w:cs="Calibri"/>
                <w:color w:val="111111"/>
                <w:sz w:val="18"/>
                <w:szCs w:val="18"/>
              </w:rPr>
              <w:t>Lifecycle Marketing &amp; Customer Journey Planning</w:t>
            </w:r>
          </w:p>
          <w:p>
            <w:pPr>
              <w:pStyle w:val="ListBullet"/>
              <w:spacing w:after="46" w:line="220" w:lineRule="exact"/>
              <w:ind w:left="720" w:hanging="360"/>
            </w:pPr>
            <w:r>
              <w:rPr>
                <w:rFonts w:ascii="Calibri" w:hAnsi="Calibri" w:eastAsia="Calibri" w:cs="Calibri"/>
                <w:color w:val="111111"/>
                <w:sz w:val="18"/>
                <w:szCs w:val="18"/>
              </w:rPr>
              <w:t>Requirements Gathering &amp; Stakeholder Alignment</w:t>
            </w:r>
          </w:p>
          <w:p>
            <w:pPr>
              <w:pStyle w:val="ListBullet"/>
              <w:spacing w:after="46" w:line="220" w:lineRule="exact"/>
              <w:ind w:left="720" w:hanging="360"/>
            </w:pPr>
            <w:r>
              <w:rPr>
                <w:rFonts w:ascii="Calibri" w:hAnsi="Calibri" w:eastAsia="Calibri" w:cs="Calibri"/>
                <w:color w:val="111111"/>
                <w:sz w:val="18"/>
                <w:szCs w:val="18"/>
              </w:rPr>
              <w:t>Platform Improvement, QA &amp; Release Planning</w:t>
            </w:r>
          </w:p>
          <w:p>
            <w:pPr>
              <w:pStyle w:val="ListBullet"/>
              <w:spacing w:after="46" w:line="220" w:lineRule="exact"/>
              <w:ind w:left="720" w:hanging="360"/>
            </w:pPr>
            <w:r>
              <w:rPr>
                <w:rFonts w:ascii="Calibri" w:hAnsi="Calibri" w:eastAsia="Calibri" w:cs="Calibri"/>
                <w:color w:val="111111"/>
                <w:sz w:val="18"/>
                <w:szCs w:val="18"/>
              </w:rPr>
              <w:t>Performance Reporting, Testing &amp; Optimization</w:t>
            </w:r>
          </w:p>
          <w:p>
            <w:pPr>
              <w:pStyle w:val="ListBullet"/>
              <w:spacing w:after="46" w:line="220" w:lineRule="exact"/>
              <w:ind w:left="720" w:hanging="360"/>
            </w:pPr>
            <w:r>
              <w:rPr>
                <w:rFonts w:ascii="Calibri" w:hAnsi="Calibri" w:eastAsia="Calibri" w:cs="Calibri"/>
                <w:color w:val="111111"/>
                <w:sz w:val="18"/>
                <w:szCs w:val="18"/>
              </w:rPr>
              <w:t>Agile Delivery, Sprint Planning &amp; Governance</w:t>
            </w:r>
          </w:p>
        </w:tc>
        <w:tc>
          <w:tcPr>
            <w:tcW w:type="dxa" w:w="5429"/>
            <w:tcMar>
              <w:top w:w="0" w:type="dxa"/>
              <w:start w:w="20" w:type="dxa"/>
              <w:bottom w:w="0" w:type="dxa"/>
              <w:end w:w="20" w:type="dxa"/>
            </w:tcMar>
            <w:vAlign w:val="top"/>
          </w:tcPr>
          <w:p>
            <w:pPr>
              <w:pStyle w:val="ListBullet"/>
              <w:spacing w:after="46" w:line="220" w:lineRule="exact"/>
              <w:ind w:left="260" w:hanging="174"/>
            </w:pPr>
            <w:r>
              <w:rPr>
                <w:rFonts w:ascii="Calibri" w:hAnsi="Calibri" w:eastAsia="Calibri" w:cs="Calibri"/>
                <w:color w:val="111111"/>
                <w:sz w:val="18"/>
                <w:szCs w:val="18"/>
              </w:rPr>
              <w:t>CRM, CDP, Customer Data &amp; MarTech Programs</w:t>
            </w:r>
          </w:p>
          <w:p>
            <w:pPr>
              <w:pStyle w:val="ListBullet"/>
              <w:spacing w:after="46" w:line="220" w:lineRule="exact"/>
              <w:ind w:left="260" w:hanging="174"/>
            </w:pPr>
            <w:r>
              <w:rPr>
                <w:rFonts w:ascii="Calibri" w:hAnsi="Calibri" w:eastAsia="Calibri" w:cs="Calibri"/>
                <w:color w:val="111111"/>
                <w:sz w:val="18"/>
                <w:szCs w:val="18"/>
              </w:rPr>
              <w:t>Scope, Timeline, Budget &amp; Resource Management</w:t>
            </w:r>
          </w:p>
          <w:p>
            <w:pPr>
              <w:pStyle w:val="ListBullet"/>
              <w:spacing w:after="46" w:line="220" w:lineRule="exact"/>
              <w:ind w:left="260" w:hanging="174"/>
            </w:pPr>
            <w:r>
              <w:rPr>
                <w:rFonts w:ascii="Calibri" w:hAnsi="Calibri" w:eastAsia="Calibri" w:cs="Calibri"/>
                <w:color w:val="111111"/>
                <w:sz w:val="18"/>
                <w:szCs w:val="18"/>
              </w:rPr>
              <w:t>Risk, Dependency &amp; Escalation Management</w:t>
            </w:r>
          </w:p>
          <w:p>
            <w:pPr>
              <w:pStyle w:val="ListBullet"/>
              <w:spacing w:after="46" w:line="220" w:lineRule="exact"/>
              <w:ind w:left="260" w:hanging="174"/>
            </w:pPr>
            <w:r>
              <w:rPr>
                <w:rFonts w:ascii="Calibri" w:hAnsi="Calibri" w:eastAsia="Calibri" w:cs="Calibri"/>
                <w:color w:val="111111"/>
                <w:sz w:val="18"/>
                <w:szCs w:val="18"/>
              </w:rPr>
              <w:t>Audience Segmentation, Targeting &amp; Personalization</w:t>
            </w:r>
          </w:p>
          <w:p>
            <w:pPr>
              <w:pStyle w:val="ListBullet"/>
              <w:spacing w:after="46" w:line="220" w:lineRule="exact"/>
              <w:ind w:left="260" w:hanging="174"/>
            </w:pPr>
            <w:r>
              <w:rPr>
                <w:rFonts w:ascii="Calibri" w:hAnsi="Calibri" w:eastAsia="Calibri" w:cs="Calibri"/>
                <w:color w:val="111111"/>
                <w:sz w:val="18"/>
                <w:szCs w:val="18"/>
              </w:rPr>
              <w:t>Executive Communication &amp; Delivery Governance</w:t>
            </w:r>
          </w:p>
          <w:p>
            <w:pPr>
              <w:pStyle w:val="ListBullet"/>
              <w:spacing w:after="46" w:line="220" w:lineRule="exact"/>
              <w:ind w:left="260" w:hanging="174"/>
            </w:pPr>
            <w:r>
              <w:rPr>
                <w:rFonts w:ascii="Calibri" w:hAnsi="Calibri" w:eastAsia="Calibri" w:cs="Calibri"/>
                <w:color w:val="111111"/>
                <w:sz w:val="18"/>
                <w:szCs w:val="18"/>
              </w:rPr>
              <w:t>Product Roadmaps, Prioritization &amp; Delivery Planning</w:t>
            </w:r>
          </w:p>
        </w:tc>
      </w:tr>
    </w:tbl>
    <w:p>
      <w:pPr>
        <w:keepNext/>
        <w:spacing w:before="280" w:after="100" w:line="240" w:lineRule="auto"/>
      </w:pPr>
      <w:r>
        <w:rPr>
          <w:rFonts w:ascii="Calibri" w:hAnsi="Calibri" w:eastAsia="Calibri" w:cs="Calibri"/>
          <w:b/>
          <w:color w:val="4F81BD"/>
          <w:sz w:val="24"/>
          <w:szCs w:val="24"/>
        </w:rPr>
        <w:t>Professional Experience</w:t>
      </w:r>
    </w:p>
    <w:p>
      <w:pPr>
        <w:keepNext/>
        <w:spacing w:before="160" w:after="40" w:line="240" w:lineRule="auto"/>
      </w:pPr>
      <w:r>
        <w:rPr>
          <w:rFonts w:ascii="Calibri" w:hAnsi="Calibri" w:eastAsia="Calibri" w:cs="Calibri"/>
          <w:b/>
          <w:color w:val="4F81BD"/>
          <w:sz w:val="20"/>
          <w:szCs w:val="20"/>
        </w:rPr>
        <w:t>Senior Account Manager (Technical Project Delivery Lead, CRM &amp; MarTech) | Vigorate</w:t>
      </w:r>
    </w:p>
    <w:p>
      <w:pPr>
        <w:keepNext/>
        <w:spacing w:before="0" w:after="100" w:line="240" w:lineRule="auto"/>
      </w:pPr>
      <w:r>
        <w:rPr>
          <w:rFonts w:ascii="Calibri" w:hAnsi="Calibri" w:eastAsia="Calibri" w:cs="Calibri"/>
          <w:i/>
          <w:color w:val="111111"/>
          <w:sz w:val="18"/>
          <w:szCs w:val="18"/>
        </w:rPr>
        <w:t>Toronto, Ontario | September 2021 to Present</w:t>
      </w:r>
    </w:p>
    <w:p>
      <w:pPr>
        <w:pStyle w:val="ListBullet"/>
        <w:spacing w:before="0" w:after="82" w:line="240" w:lineRule="exact"/>
        <w:ind w:left="331" w:hanging="202"/>
      </w:pPr>
      <w:r>
        <w:rPr>
          <w:rFonts w:ascii="Calibri" w:hAnsi="Calibri" w:eastAsia="Calibri" w:cs="Calibri"/>
          <w:b w:val="0"/>
          <w:color w:val="111111"/>
          <w:sz w:val="18"/>
          <w:szCs w:val="18"/>
        </w:rPr>
        <w:t>Lead delivery across enterprise CRM, lifecycle marketing, customer-data, and MarTech engagements, translating commercial priorities into scope, workback schedules, technical requirements, QA plans, launch decisions, and post-launch improvements.</w:t>
      </w:r>
    </w:p>
    <w:p>
      <w:pPr>
        <w:pStyle w:val="ListBullet"/>
        <w:spacing w:before="0" w:after="82" w:line="240" w:lineRule="exact"/>
        <w:ind w:left="331" w:hanging="202"/>
      </w:pPr>
      <w:r>
        <w:rPr>
          <w:rFonts w:ascii="Calibri" w:hAnsi="Calibri" w:eastAsia="Calibri" w:cs="Calibri"/>
          <w:b w:val="0"/>
          <w:color w:val="111111"/>
          <w:sz w:val="18"/>
          <w:szCs w:val="18"/>
        </w:rPr>
        <w:t>Manage a portfolio of 20+ concurrent client workstreams each quarter across Salesforce Marketing Cloud, Marketing Cloud Next, Salesforce Data 360, Braze, and connected data environments, balancing urgent production releases with roadmap, optimization, and platform-improvement work.</w:t>
      </w:r>
    </w:p>
    <w:p>
      <w:pPr>
        <w:pStyle w:val="ListBullet"/>
        <w:spacing w:before="0" w:after="82" w:line="240" w:lineRule="exact"/>
        <w:ind w:left="331" w:hanging="202"/>
      </w:pPr>
      <w:r>
        <w:rPr>
          <w:rFonts w:ascii="Calibri" w:hAnsi="Calibri" w:eastAsia="Calibri" w:cs="Calibri"/>
          <w:b w:val="0"/>
          <w:color w:val="111111"/>
          <w:sz w:val="18"/>
          <w:szCs w:val="18"/>
        </w:rPr>
        <w:t>Lead lifecycle and customer-engagement programs supporting 200M+ annual SMS/MMS and email sends, coordinating segmentation, targeting, journey logic, data validation, campaign QA, deployment readiness, reporting, and optimization.</w:t>
      </w:r>
    </w:p>
    <w:p>
      <w:pPr>
        <w:pStyle w:val="ListBullet"/>
        <w:spacing w:before="0" w:after="82" w:line="240" w:lineRule="exact"/>
        <w:ind w:left="331" w:hanging="202"/>
      </w:pPr>
      <w:r>
        <w:rPr>
          <w:rFonts w:ascii="Calibri" w:hAnsi="Calibri" w:eastAsia="Calibri" w:cs="Calibri"/>
          <w:b w:val="0"/>
          <w:color w:val="111111"/>
          <w:sz w:val="18"/>
          <w:szCs w:val="18"/>
        </w:rPr>
        <w:t>Introduced structured intake, prioritization, RAID, and change-control practices that reduced late-stage scope changes by 30%, improved stakeholder visibility, and increased launch-readiness confidence across high-volume programs.</w:t>
      </w:r>
    </w:p>
    <w:p>
      <w:pPr>
        <w:pStyle w:val="ListBullet"/>
        <w:spacing w:before="0" w:after="82" w:line="240" w:lineRule="exact"/>
        <w:ind w:left="331" w:hanging="202"/>
      </w:pPr>
      <w:r>
        <w:rPr>
          <w:rFonts w:ascii="Calibri" w:hAnsi="Calibri"/>
          <w:b w:val="0"/>
          <w:sz w:val="18"/>
        </w:rPr>
        <w:t>Built delivery controls for requirements, acceptance criteria, test scenarios, decision logs, and release checklists, reducing avoidable production defects and shortening UAT-to-launch cycles by 20%.</w:t>
      </w:r>
    </w:p>
    <w:p>
      <w:pPr>
        <w:pStyle w:val="ListBullet"/>
        <w:spacing w:before="0" w:after="82" w:line="240" w:lineRule="exact"/>
        <w:ind w:left="331" w:hanging="202"/>
      </w:pPr>
      <w:r>
        <w:rPr>
          <w:rFonts w:ascii="Calibri" w:hAnsi="Calibri" w:eastAsia="Calibri" w:cs="Calibri"/>
          <w:b w:val="0"/>
          <w:color w:val="111111"/>
          <w:sz w:val="18"/>
          <w:szCs w:val="18"/>
        </w:rPr>
        <w:t>Own commercial health across retainer and project-based engagements, including scoping, level-of-effort estimation, budgets, burn management, SOW support, resource allocation, and change planning; improved monthly forecast accuracy to within 5% of actual effort through clearer capacity planning and weekly burn reviews.</w:t>
      </w:r>
    </w:p>
    <w:p>
      <w:pPr>
        <w:pStyle w:val="ListBullet"/>
        <w:spacing w:before="0" w:after="82" w:line="240" w:lineRule="exact"/>
        <w:ind w:left="331" w:hanging="202"/>
      </w:pPr>
      <w:r>
        <w:rPr>
          <w:rFonts w:ascii="Calibri" w:hAnsi="Calibri"/>
          <w:b w:val="0"/>
          <w:sz w:val="18"/>
        </w:rPr>
        <w:t>Partner with client marketing leaders, solution architects, developers, QA, analytics, data, and operations teams to clarify requirements, sequence dependencies, resolve trade-offs, remove blockers, and protect delivery quality.</w:t>
      </w:r>
    </w:p>
    <w:p>
      <w:pPr>
        <w:pStyle w:val="ListBullet"/>
        <w:spacing w:before="0" w:after="82" w:line="240" w:lineRule="exact"/>
        <w:ind w:left="331" w:hanging="202"/>
      </w:pPr>
      <w:r>
        <w:rPr>
          <w:rFonts w:ascii="Calibri" w:hAnsi="Calibri" w:eastAsia="Calibri" w:cs="Calibri"/>
          <w:b w:val="0"/>
          <w:color w:val="111111"/>
          <w:sz w:val="18"/>
          <w:szCs w:val="18"/>
        </w:rPr>
        <w:t>Guide platform and data improvements across consent capture, campaign tracking and attribution, CRM field mappings, audience validation, automation, and connected Salesforce environments, coordinating discovery, solution planning, validation, and rollout.</w:t>
      </w:r>
    </w:p>
    <w:p>
      <w:pPr>
        <w:pStyle w:val="ListBullet"/>
        <w:spacing w:before="0" w:after="82" w:line="240" w:lineRule="exact"/>
        <w:ind w:left="331" w:hanging="202"/>
      </w:pPr>
      <w:r>
        <w:rPr>
          <w:rFonts w:ascii="Calibri" w:hAnsi="Calibri" w:eastAsia="Calibri" w:cs="Calibri"/>
          <w:b w:val="0"/>
          <w:color w:val="111111"/>
          <w:sz w:val="18"/>
          <w:szCs w:val="18"/>
        </w:rPr>
        <w:t>Establish a consistent portfolio rhythm through workback schedules, weekly status reviews, decision logs, risk updates, and executive reporting that connects progress, budget, dependencies, customer impact, and decisions required.</w:t>
      </w:r>
    </w:p>
    <w:p>
      <w:pPr>
        <w:keepNext/>
        <w:pageBreakBefore/>
        <w:spacing w:before="0" w:after="40" w:line="240" w:lineRule="auto"/>
      </w:pPr>
      <w:r>
        <w:rPr>
          <w:rFonts w:ascii="Calibri" w:hAnsi="Calibri" w:eastAsia="Calibri" w:cs="Calibri"/>
          <w:b/>
          <w:color w:val="4F81BD"/>
          <w:sz w:val="18"/>
          <w:szCs w:val="18"/>
        </w:rPr>
        <w:t>Digital Operations Manager | EnsembleIQ</w:t>
      </w:r>
    </w:p>
    <w:p>
      <w:pPr>
        <w:keepNext/>
        <w:spacing w:before="0" w:after="80" w:line="240" w:lineRule="auto"/>
      </w:pPr>
      <w:r>
        <w:rPr>
          <w:rFonts w:ascii="Calibri" w:hAnsi="Calibri" w:eastAsia="Calibri" w:cs="Calibri"/>
          <w:i/>
          <w:color w:val="111111"/>
          <w:sz w:val="20"/>
          <w:szCs w:val="20"/>
        </w:rPr>
        <w:t>Toronto, Ontario | January 2021 to September 2021</w:t>
      </w:r>
    </w:p>
    <w:p>
      <w:pPr>
        <w:pStyle w:val="ListBullet"/>
        <w:spacing w:before="0" w:after="48" w:line="240" w:lineRule="exact"/>
        <w:ind w:left="331" w:hanging="202"/>
      </w:pPr>
      <w:r>
        <w:rPr>
          <w:rFonts w:ascii="Calibri" w:hAnsi="Calibri" w:eastAsia="Calibri" w:cs="Calibri"/>
          <w:b w:val="0"/>
          <w:color w:val="111111"/>
          <w:sz w:val="18"/>
          <w:szCs w:val="18"/>
        </w:rPr>
        <w:t>Led integrated digital campaigns across paid social, Google Ads, sponsored content, lifecycle email, and web for retail, CPG, and B2B media clients, supporting acquisition, engagement, advertiser objectives, and recurring revenue programs.</w:t>
      </w:r>
    </w:p>
    <w:p>
      <w:pPr>
        <w:pStyle w:val="ListBullet"/>
        <w:spacing w:before="0" w:after="48" w:line="240" w:lineRule="exact"/>
        <w:ind w:left="331" w:hanging="202"/>
      </w:pPr>
      <w:r>
        <w:rPr>
          <w:rFonts w:ascii="Calibri" w:hAnsi="Calibri" w:eastAsia="Calibri" w:cs="Calibri"/>
          <w:b w:val="0"/>
          <w:color w:val="111111"/>
          <w:sz w:val="18"/>
          <w:szCs w:val="18"/>
        </w:rPr>
        <w:t>Managed 30+ multi-channel campaign launches annually from briefing through post-campaign reporting, aligning audience strategy, creative requirements, media pacing, tracking, landing-page requirements, delivery timelines, and stakeholder expectations.</w:t>
      </w:r>
    </w:p>
    <w:p>
      <w:pPr>
        <w:pStyle w:val="ListBullet"/>
        <w:spacing w:before="0" w:after="48" w:line="240" w:lineRule="exact"/>
        <w:ind w:left="331" w:hanging="202"/>
      </w:pPr>
      <w:r>
        <w:rPr>
          <w:rFonts w:ascii="Calibri" w:hAnsi="Calibri" w:eastAsia="Calibri" w:cs="Calibri"/>
          <w:b w:val="0"/>
          <w:color w:val="111111"/>
          <w:sz w:val="18"/>
          <w:szCs w:val="18"/>
        </w:rPr>
        <w:t>Improved budget-to-click efficiency by 5 to 8% through audience refinement, A/B testing, budget pacing, channel-level monitoring, and recommendations to reallocate spend toward stronger-performing segments and placements.</w:t>
      </w:r>
    </w:p>
    <w:p>
      <w:pPr>
        <w:pStyle w:val="ListBullet"/>
        <w:spacing w:before="0" w:after="48" w:line="240" w:lineRule="exact"/>
        <w:ind w:left="331" w:hanging="202"/>
      </w:pPr>
      <w:r>
        <w:rPr>
          <w:rFonts w:ascii="Calibri" w:hAnsi="Calibri" w:eastAsia="Calibri" w:cs="Calibri"/>
          <w:b w:val="0"/>
          <w:color w:val="111111"/>
          <w:sz w:val="18"/>
          <w:szCs w:val="18"/>
        </w:rPr>
        <w:t>Built repeatable campaign-planning and performance-reporting processes that reduced reporting turnaround time by 25% and gave advertisers clearer visibility into pacing, engagement, and optimization opportunities.</w:t>
      </w:r>
    </w:p>
    <w:p>
      <w:pPr>
        <w:pStyle w:val="ListBullet"/>
        <w:spacing w:before="0" w:after="48" w:line="240" w:lineRule="exact"/>
        <w:ind w:left="331" w:hanging="202"/>
      </w:pPr>
      <w:r>
        <w:rPr>
          <w:rFonts w:ascii="Calibri" w:hAnsi="Calibri" w:eastAsia="Calibri" w:cs="Calibri"/>
          <w:b w:val="0"/>
          <w:color w:val="111111"/>
          <w:sz w:val="18"/>
          <w:szCs w:val="18"/>
        </w:rPr>
        <w:t>Partnered with sales, editorial, media, creative, and web teams to translate advertiser needs into executable digital programs while protecting deadlines, campaign quality, and client expectations.</w:t>
      </w:r>
    </w:p>
    <w:p>
      <w:pPr>
        <w:keepNext/>
        <w:spacing w:before="120" w:after="40" w:line="240" w:lineRule="auto"/>
      </w:pPr>
      <w:r>
        <w:rPr>
          <w:rFonts w:ascii="Calibri" w:hAnsi="Calibri" w:eastAsia="Calibri" w:cs="Calibri"/>
          <w:b/>
          <w:color w:val="4F81BD"/>
          <w:sz w:val="18"/>
          <w:szCs w:val="18"/>
        </w:rPr>
        <w:t>Customer Success Manager | 101 Mobility</w:t>
      </w:r>
    </w:p>
    <w:p>
      <w:pPr>
        <w:keepNext/>
        <w:spacing w:before="0" w:after="80" w:line="240" w:lineRule="auto"/>
      </w:pPr>
      <w:r>
        <w:rPr>
          <w:rFonts w:ascii="Calibri" w:hAnsi="Calibri" w:eastAsia="Calibri" w:cs="Calibri"/>
          <w:i/>
          <w:color w:val="111111"/>
          <w:sz w:val="20"/>
          <w:szCs w:val="20"/>
        </w:rPr>
        <w:t>North York, Ontario | July 2019 to December 2020</w:t>
      </w:r>
    </w:p>
    <w:p>
      <w:pPr>
        <w:pStyle w:val="ListBullet"/>
        <w:spacing w:before="0" w:after="48" w:line="240" w:lineRule="exact"/>
        <w:ind w:left="331" w:hanging="202"/>
      </w:pPr>
      <w:r>
        <w:rPr>
          <w:rFonts w:ascii="Calibri" w:hAnsi="Calibri" w:eastAsia="Calibri" w:cs="Calibri"/>
          <w:b w:val="0"/>
          <w:color w:val="111111"/>
          <w:sz w:val="18"/>
          <w:szCs w:val="18"/>
        </w:rPr>
        <w:t>Managed CRM operations, customer analytics, service-performance reporting, and client-delivery processes supporting acquisition, retention, local-market growth, and customer experience.</w:t>
      </w:r>
    </w:p>
    <w:p>
      <w:pPr>
        <w:pStyle w:val="ListBullet"/>
        <w:spacing w:before="0" w:after="48" w:line="240" w:lineRule="exact"/>
        <w:ind w:left="331" w:hanging="202"/>
      </w:pPr>
      <w:r>
        <w:rPr>
          <w:rFonts w:ascii="Calibri" w:hAnsi="Calibri" w:eastAsia="Calibri" w:cs="Calibri"/>
          <w:b w:val="0"/>
          <w:color w:val="111111"/>
          <w:sz w:val="18"/>
          <w:szCs w:val="18"/>
        </w:rPr>
        <w:t>Consolidated referral, lead, service, revenue, and customer-performance data into reporting frameworks that reduced manual analysis by 30% and enabled leaders to identify underperforming channels faster.</w:t>
      </w:r>
    </w:p>
    <w:p>
      <w:pPr>
        <w:pStyle w:val="ListBullet"/>
        <w:spacing w:before="0" w:after="48" w:line="240" w:lineRule="exact"/>
        <w:ind w:left="331" w:hanging="202"/>
      </w:pPr>
      <w:r>
        <w:rPr>
          <w:rFonts w:ascii="Calibri" w:hAnsi="Calibri" w:eastAsia="Calibri" w:cs="Calibri"/>
          <w:b w:val="0"/>
          <w:color w:val="111111"/>
          <w:sz w:val="18"/>
          <w:szCs w:val="18"/>
        </w:rPr>
        <w:t>Analyzed referral sources, customer trends, pull-through rates, job values, service patterns, and market data to identify opportunities across marketing, pricing, operational performance, and local growth strategy.</w:t>
      </w:r>
    </w:p>
    <w:p>
      <w:pPr>
        <w:pStyle w:val="ListBullet"/>
        <w:spacing w:before="0" w:after="48" w:line="240" w:lineRule="exact"/>
        <w:ind w:left="331" w:hanging="202"/>
      </w:pPr>
      <w:r>
        <w:rPr>
          <w:rFonts w:ascii="Calibri" w:hAnsi="Calibri" w:eastAsia="Calibri" w:cs="Calibri"/>
          <w:b w:val="0"/>
          <w:color w:val="111111"/>
          <w:sz w:val="18"/>
          <w:szCs w:val="18"/>
        </w:rPr>
        <w:t>Developed competitive-market insights used to strengthen local positioning, sales messaging, service differentiation, and franchise growth planning.</w:t>
      </w:r>
    </w:p>
    <w:p>
      <w:pPr>
        <w:keepNext/>
        <w:spacing w:before="120" w:after="40" w:line="240" w:lineRule="auto"/>
      </w:pPr>
      <w:r>
        <w:rPr>
          <w:rFonts w:ascii="Calibri" w:hAnsi="Calibri" w:eastAsia="Calibri" w:cs="Calibri"/>
          <w:b/>
          <w:color w:val="4F81BD"/>
          <w:sz w:val="18"/>
          <w:szCs w:val="18"/>
        </w:rPr>
        <w:t>Marketing &amp; Financial Services Representative | Primerica</w:t>
      </w:r>
    </w:p>
    <w:p>
      <w:pPr>
        <w:keepNext/>
        <w:spacing w:before="0" w:after="80" w:line="240" w:lineRule="auto"/>
      </w:pPr>
      <w:r>
        <w:rPr>
          <w:rFonts w:ascii="Calibri" w:hAnsi="Calibri" w:eastAsia="Calibri" w:cs="Calibri"/>
          <w:i/>
          <w:color w:val="111111"/>
          <w:sz w:val="20"/>
          <w:szCs w:val="20"/>
        </w:rPr>
        <w:t>North York, Ontario | March 2019 to August 2020</w:t>
      </w:r>
    </w:p>
    <w:p>
      <w:pPr>
        <w:pStyle w:val="ListBullet"/>
        <w:spacing w:before="0" w:after="48" w:line="240" w:lineRule="exact"/>
        <w:ind w:left="331" w:hanging="202"/>
      </w:pPr>
      <w:r>
        <w:rPr>
          <w:rFonts w:ascii="Calibri" w:hAnsi="Calibri" w:eastAsia="Calibri" w:cs="Calibri"/>
          <w:b w:val="0"/>
          <w:color w:val="111111"/>
          <w:sz w:val="18"/>
          <w:szCs w:val="18"/>
        </w:rPr>
        <w:t>Developed needs-based financial plans across insurance and investment products, supporting client acquisition, relationship management, financial education, tailored recommendations, and ongoing customer communication in a regulated environment.</w:t>
      </w:r>
    </w:p>
    <w:p>
      <w:pPr>
        <w:pStyle w:val="ListBullet"/>
        <w:spacing w:before="0" w:after="48" w:line="240" w:lineRule="exact"/>
        <w:ind w:left="331" w:hanging="202"/>
      </w:pPr>
      <w:r>
        <w:rPr>
          <w:rFonts w:ascii="Calibri" w:hAnsi="Calibri" w:eastAsia="Calibri" w:cs="Calibri"/>
          <w:b w:val="0"/>
          <w:color w:val="111111"/>
          <w:sz w:val="18"/>
          <w:szCs w:val="18"/>
        </w:rPr>
        <w:t>Built a referral-driven prospecting approach that increased repeat conversations, strengthened client follow-up, and contributed to recognition through Primerica’s North American incentive program.</w:t>
      </w:r>
    </w:p>
    <w:p>
      <w:pPr>
        <w:keepNext/>
        <w:spacing w:before="120" w:after="40" w:line="240" w:lineRule="auto"/>
      </w:pPr>
      <w:r>
        <w:rPr>
          <w:rFonts w:ascii="Calibri" w:hAnsi="Calibri" w:eastAsia="Calibri" w:cs="Calibri"/>
          <w:b/>
          <w:color w:val="4F81BD"/>
          <w:sz w:val="18"/>
          <w:szCs w:val="18"/>
        </w:rPr>
        <w:t>Project Team Lead | Jobs Canada Fair</w:t>
      </w:r>
    </w:p>
    <w:p>
      <w:pPr>
        <w:keepNext/>
        <w:spacing w:before="0" w:after="80" w:line="240" w:lineRule="auto"/>
      </w:pPr>
      <w:r>
        <w:rPr>
          <w:rFonts w:ascii="Calibri" w:hAnsi="Calibri" w:eastAsia="Calibri" w:cs="Calibri"/>
          <w:i/>
          <w:color w:val="111111"/>
          <w:sz w:val="20"/>
          <w:szCs w:val="20"/>
        </w:rPr>
        <w:t>Toronto, Ontario | August 2018 to July 2019</w:t>
      </w:r>
    </w:p>
    <w:p>
      <w:pPr>
        <w:pStyle w:val="ListBullet"/>
        <w:spacing w:before="0" w:after="48" w:line="240" w:lineRule="exact"/>
        <w:ind w:left="331" w:hanging="202"/>
      </w:pPr>
      <w:r>
        <w:rPr>
          <w:rFonts w:ascii="Calibri" w:hAnsi="Calibri" w:eastAsia="Calibri" w:cs="Calibri"/>
          <w:b w:val="0"/>
          <w:color w:val="111111"/>
          <w:sz w:val="18"/>
          <w:szCs w:val="18"/>
        </w:rPr>
        <w:t>Led an eight-person cross-functional team delivering recruitment marketing and event operations across six provinces, coordinating paid media, email marketing, promotional calendars, partner communications, venue logistics, and on-site execution.</w:t>
      </w:r>
    </w:p>
    <w:p>
      <w:pPr>
        <w:pStyle w:val="ListBullet"/>
        <w:spacing w:before="0" w:after="48" w:line="240" w:lineRule="exact"/>
        <w:ind w:left="331" w:hanging="202"/>
      </w:pPr>
      <w:r>
        <w:rPr>
          <w:rFonts w:ascii="Calibri" w:hAnsi="Calibri" w:eastAsia="Calibri" w:cs="Calibri"/>
          <w:b w:val="0"/>
          <w:color w:val="111111"/>
          <w:sz w:val="18"/>
          <w:szCs w:val="18"/>
        </w:rPr>
        <w:t>Owned strategy and execution for 125+ targeted email campaigns, increasing customer retention by 10% and new customer acquisition by 15% through audience segmentation, tailored messaging, campaign timing, and ongoing optimization.</w:t>
      </w:r>
    </w:p>
    <w:p>
      <w:pPr>
        <w:pStyle w:val="ListBullet"/>
        <w:spacing w:before="0" w:after="48" w:line="240" w:lineRule="exact"/>
        <w:ind w:left="331" w:hanging="202"/>
      </w:pPr>
      <w:r>
        <w:rPr>
          <w:rFonts w:ascii="Calibri" w:hAnsi="Calibri" w:eastAsia="Calibri" w:cs="Calibri"/>
          <w:b w:val="0"/>
          <w:color w:val="111111"/>
          <w:sz w:val="18"/>
          <w:szCs w:val="18"/>
        </w:rPr>
        <w:t>Managed simultaneous regional campaign launches, employer communications, event requirements, creative assets, and time-sensitive operational dependencies across multiple Canadian markets.</w:t>
      </w:r>
    </w:p>
    <w:p>
      <w:pPr>
        <w:pStyle w:val="ListBullet"/>
        <w:spacing w:before="0" w:after="48" w:line="240" w:lineRule="exact"/>
        <w:ind w:left="331" w:hanging="202"/>
      </w:pPr>
      <w:r>
        <w:rPr>
          <w:rFonts w:ascii="Calibri" w:hAnsi="Calibri" w:eastAsia="Calibri" w:cs="Calibri"/>
          <w:b w:val="0"/>
          <w:color w:val="111111"/>
          <w:sz w:val="18"/>
          <w:szCs w:val="18"/>
        </w:rPr>
        <w:t>Introduced centralized planning and campaign-tracking practices that improved team visibility, reduced missed handoffs, and supported more consistent regional execution.</w:t>
      </w:r>
    </w:p>
    <w:p>
      <w:pPr>
        <w:keepNext/>
        <w:spacing w:before="180" w:after="80" w:line="240" w:lineRule="auto"/>
      </w:pPr>
      <w:r>
        <w:rPr>
          <w:rFonts w:ascii="Calibri" w:hAnsi="Calibri" w:eastAsia="Calibri" w:cs="Calibri"/>
          <w:b/>
          <w:color w:val="4F81BD"/>
          <w:sz w:val="24"/>
          <w:szCs w:val="24"/>
        </w:rPr>
        <w:t>Tools &amp; Platforms:</w:t>
      </w:r>
    </w:p>
    <w:p>
      <w:pPr>
        <w:pStyle w:val="ListBullet"/>
        <w:spacing w:after="40" w:line="240" w:lineRule="exact"/>
        <w:ind w:left="331" w:hanging="202"/>
      </w:pPr>
      <w:r>
        <w:rPr>
          <w:rFonts w:ascii="Calibri" w:hAnsi="Calibri" w:eastAsia="Calibri" w:cs="Calibri"/>
          <w:b/>
          <w:sz w:val="18"/>
          <w:szCs w:val="18"/>
        </w:rPr>
        <w:t xml:space="preserve">Project Delivery &amp; Collaboration: </w:t>
      </w:r>
      <w:r>
        <w:rPr>
          <w:rFonts w:ascii="Calibri" w:hAnsi="Calibri" w:eastAsia="Calibri" w:cs="Calibri"/>
          <w:sz w:val="18"/>
          <w:szCs w:val="18"/>
        </w:rPr>
        <w:t>Wrike, Jira, Asana, Confluence, Miro, Figma, Mac OS, Microsoft Project, Word, Excel, and PowerPoint</w:t>
      </w:r>
    </w:p>
    <w:p>
      <w:pPr>
        <w:pStyle w:val="ListBullet"/>
        <w:spacing w:after="40" w:line="240" w:lineRule="exact"/>
        <w:ind w:left="331" w:hanging="202"/>
      </w:pPr>
      <w:r>
        <w:rPr>
          <w:rFonts w:ascii="Calibri" w:hAnsi="Calibri" w:eastAsia="Calibri" w:cs="Calibri"/>
          <w:b/>
          <w:sz w:val="18"/>
          <w:szCs w:val="18"/>
        </w:rPr>
        <w:t xml:space="preserve">CRM, Data &amp; Automation: </w:t>
      </w:r>
      <w:r>
        <w:rPr>
          <w:rFonts w:ascii="Calibri" w:hAnsi="Calibri" w:eastAsia="Calibri" w:cs="Calibri"/>
          <w:sz w:val="18"/>
          <w:szCs w:val="18"/>
        </w:rPr>
        <w:t>Salesforce Marketing Cloud, Marketing Cloud Next, Salesforce Data 360, Braze, HTML email editing, SQL-based audience validation, platform integrations, API-driven automation workflows</w:t>
      </w:r>
    </w:p>
    <w:p>
      <w:pPr>
        <w:pStyle w:val="ListBullet"/>
        <w:spacing w:after="40" w:line="240" w:lineRule="exact"/>
        <w:ind w:left="331" w:hanging="202"/>
      </w:pPr>
      <w:r>
        <w:rPr>
          <w:rFonts w:ascii="Calibri" w:hAnsi="Calibri" w:eastAsia="Calibri" w:cs="Calibri"/>
          <w:b/>
          <w:sz w:val="18"/>
          <w:szCs w:val="18"/>
        </w:rPr>
        <w:t xml:space="preserve">AI-Assisted Delivery: </w:t>
      </w:r>
      <w:r>
        <w:rPr>
          <w:rFonts w:ascii="Calibri" w:hAnsi="Calibri" w:eastAsia="Calibri" w:cs="Calibri"/>
          <w:sz w:val="18"/>
          <w:szCs w:val="18"/>
        </w:rPr>
        <w:t>Claude and Claude Code for research, requirements drafting, acceptance criteria, QA scenarios, test-case development, and documentation</w:t>
      </w:r>
    </w:p>
    <w:p>
      <w:pPr>
        <w:pStyle w:val="ListBullet"/>
        <w:spacing w:after="40" w:line="240" w:lineRule="exact"/>
        <w:ind w:left="331" w:hanging="202"/>
      </w:pPr>
      <w:r>
        <w:rPr>
          <w:rFonts w:ascii="Calibri" w:hAnsi="Calibri" w:eastAsia="Calibri" w:cs="Calibri"/>
          <w:b/>
          <w:sz w:val="18"/>
          <w:szCs w:val="18"/>
        </w:rPr>
        <w:t xml:space="preserve">Analytics &amp; Reporting: </w:t>
      </w:r>
      <w:r>
        <w:rPr>
          <w:rFonts w:ascii="Calibri" w:hAnsi="Calibri" w:eastAsia="Calibri" w:cs="Calibri"/>
          <w:sz w:val="18"/>
          <w:szCs w:val="18"/>
        </w:rPr>
        <w:t>Google Analytics 4, Looker Studio, Excel, paid social performance reporting</w:t>
      </w:r>
    </w:p>
    <w:p>
      <w:pPr>
        <w:keepNext/>
        <w:spacing w:before="180" w:after="80" w:line="240" w:lineRule="auto"/>
      </w:pPr>
      <w:r>
        <w:rPr>
          <w:rFonts w:ascii="Calibri" w:hAnsi="Calibri" w:eastAsia="Calibri" w:cs="Calibri"/>
          <w:b/>
          <w:color w:val="4F81BD"/>
          <w:sz w:val="24"/>
          <w:szCs w:val="24"/>
        </w:rPr>
        <w:t>Certifications</w:t>
      </w:r>
    </w:p>
    <w:p>
      <w:pPr>
        <w:pStyle w:val="ListBullet"/>
        <w:spacing w:after="40" w:line="240" w:lineRule="exact"/>
        <w:ind w:left="331" w:hanging="202"/>
      </w:pPr>
      <w:r>
        <w:rPr>
          <w:rFonts w:ascii="Calibri" w:hAnsi="Calibri"/>
          <w:b/>
          <w:sz w:val="18"/>
        </w:rPr>
        <w:t xml:space="preserve">Salesforce Certifications: </w:t>
      </w:r>
      <w:r>
        <w:rPr>
          <w:rFonts w:ascii="Calibri" w:hAnsi="Calibri"/>
          <w:sz w:val="18"/>
        </w:rPr>
        <w:t>Salesforce Certified Administrator (2025); Salesforce Certified AI Associate (2025); Salesforce Certified Marketing Cloud Account Engagement Specialist (2025); Salesforce Certified Marketing Cloud Email Specialist (2025)</w:t>
      </w:r>
    </w:p>
    <w:p>
      <w:pPr>
        <w:pStyle w:val="ListBullet"/>
        <w:spacing w:after="40" w:line="240" w:lineRule="exact"/>
        <w:ind w:left="331" w:hanging="202"/>
      </w:pPr>
      <w:r>
        <w:rPr>
          <w:rFonts w:ascii="Calibri" w:hAnsi="Calibri" w:eastAsia="Calibri" w:cs="Calibri"/>
          <w:b/>
          <w:sz w:val="18"/>
          <w:szCs w:val="18"/>
        </w:rPr>
        <w:t xml:space="preserve">Braze Certifications: </w:t>
      </w:r>
      <w:r>
        <w:rPr>
          <w:rFonts w:ascii="Calibri" w:hAnsi="Calibri" w:eastAsia="Calibri" w:cs="Calibri"/>
          <w:sz w:val="18"/>
          <w:szCs w:val="18"/>
        </w:rPr>
        <w:t>Braze Certified Practitioner (2026); Braze Certified AI Fundamentals (2026)</w:t>
      </w:r>
    </w:p>
    <w:p>
      <w:pPr>
        <w:pStyle w:val="ListBullet"/>
        <w:spacing w:after="40" w:line="240" w:lineRule="exact"/>
        <w:ind w:left="331" w:hanging="202"/>
      </w:pPr>
      <w:r>
        <w:rPr>
          <w:rFonts w:ascii="Calibri" w:hAnsi="Calibri" w:eastAsia="Calibri" w:cs="Calibri"/>
          <w:b/>
          <w:sz w:val="18"/>
          <w:szCs w:val="18"/>
        </w:rPr>
        <w:t xml:space="preserve">Project &amp; Product: </w:t>
      </w:r>
      <w:r>
        <w:rPr>
          <w:rFonts w:ascii="Calibri" w:hAnsi="Calibri" w:eastAsia="Calibri" w:cs="Calibri"/>
          <w:sz w:val="18"/>
          <w:szCs w:val="18"/>
        </w:rPr>
        <w:t>Professional Scrum Master I, Scrum.org (2026); BrainStation Product Management Certificate (2022)</w:t>
      </w:r>
    </w:p>
    <w:p>
      <w:pPr>
        <w:keepNext/>
        <w:spacing w:before="180" w:after="80" w:line="240" w:lineRule="auto"/>
      </w:pPr>
      <w:r>
        <w:rPr>
          <w:rFonts w:ascii="Calibri" w:hAnsi="Calibri" w:eastAsia="Calibri" w:cs="Calibri"/>
          <w:b/>
          <w:color w:val="4F81BD"/>
          <w:sz w:val="24"/>
          <w:szCs w:val="24"/>
        </w:rPr>
        <w:t>Education</w:t>
      </w:r>
    </w:p>
    <w:p>
      <w:pPr>
        <w:pStyle w:val="ListBullet"/>
        <w:spacing w:before="0" w:after="40" w:line="240" w:lineRule="exact"/>
        <w:ind w:left="331" w:hanging="202"/>
      </w:pPr>
      <w:r>
        <w:rPr>
          <w:rFonts w:ascii="Calibri" w:hAnsi="Calibri" w:eastAsia="Calibri" w:cs="Calibri"/>
          <w:b w:val="0"/>
          <w:color w:val="111111"/>
          <w:sz w:val="18"/>
          <w:szCs w:val="18"/>
        </w:rPr>
        <w:t>Sheridan College, Diploma, Marketing Management (2015)</w:t>
      </w:r>
    </w:p>
    <w:sectPr w:rsidR="00FC693F" w:rsidRPr="0006063C" w:rsidSect="00034616">
      <w:pgSz w:w="12240" w:h="15840"/>
      <w:pgMar w:top="893" w:right="907" w:bottom="648"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danoishan@gmail.com" TargetMode="External"/><Relationship Id="rId10" Type="http://schemas.openxmlformats.org/officeDocument/2006/relationships/hyperlink" Target="https://www.linkedin.com/in/danoishan/" TargetMode="External"/><Relationship Id="rId11" Type="http://schemas.openxmlformats.org/officeDocument/2006/relationships/hyperlink" Target="https://danoishan.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Danoishan Sinnathamby Resume</dc:title>
  <dc:subject>Technical Project and Program Delivery - CRM, Customer Data, MarTech, Product and Go-to-Market</dc:subject>
  <dc:creator>Danoishan Sinnathamby</dc:creator>
  <cp:keywords>Technical Project Manager, Technical Program Manager, CRM, MarTech, Customer Data, Product Delivery, Go-to-Market, Salesforce Marketing Cloud, Braze</cp:keywords>
  <dc:description>generated by python-docx</dc:description>
  <cp:lastModifiedBy/>
  <cp:revision>1</cp:revision>
  <dcterms:created xsi:type="dcterms:W3CDTF">2013-12-23T23:15:00Z</dcterms:created>
  <dcterms:modified xsi:type="dcterms:W3CDTF">2013-12-23T23:15:00Z</dcterms:modified>
  <cp:category/>
</cp:coreProperties>
</file>