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Despliegue Blindado Mayan</w:t>
      </w:r>
    </w:p>
    <w:p>
      <w:pPr>
        <w:pStyle w:val="Heading1"/>
      </w:pPr>
      <w:r>
        <w:t>🗺️ Plan de Despliegue Blindado para Mayan EDMS (Elestio)</w:t>
      </w:r>
    </w:p>
    <w:p>
      <w:pPr>
        <w:pStyle w:val="Heading3"/>
      </w:pPr>
      <w:r>
        <w:t>Enfoque de Seguridad y Cumplimiento Normativo (Ley 21.719)</w:t>
      </w:r>
    </w:p>
    <w:p>
      <w:r>
        <w:t>Este documento detalla la planificación técnica y de seguridad necesaria para desplegar Mayan EDMS de forma segura en la nube usando Elestio, mitigando los riesgos legales de la Ley 21.719 de Protección de Datos Personales en Chile.</w:t>
        <w:br/>
      </w:r>
    </w:p>
    <w:p>
      <w:r>
        <w:t>---</w:t>
        <w:br/>
      </w:r>
    </w:p>
    <w:p>
      <w:pPr>
        <w:pStyle w:val="Heading2"/>
      </w:pPr>
      <w:r>
        <w:t>📦 Paso 1: Configurar la Cuenta e Infraestructura en Elestio</w:t>
      </w:r>
    </w:p>
    <w:p>
      <w:pPr>
        <w:pStyle w:val="Heading3"/>
      </w:pPr>
      <w:r>
        <w:t>1. Registro Seguro y Control de Acceso</w:t>
      </w:r>
    </w:p>
    <w:p>
      <w:pPr>
        <w:pStyle w:val="ListBullet"/>
      </w:pPr>
      <w:r>
        <w:t xml:space="preserve">  **Cuenta Corporativa:** Crear la cuenta a nombre de la persona jurídica (Gestión Comercial SpA) utilizando un correo corporativo dedicado como `seguridad@hrinser.cl`.</w:t>
      </w:r>
    </w:p>
    <w:p>
      <w:pPr>
        <w:pStyle w:val="ListBullet"/>
      </w:pPr>
      <w:r>
        <w:t xml:space="preserve">  **Doble Factor de Autenticación (2FA) Obligatorio:** Activar 2FA (Google Authenticator o compatible) en la cuenta de Elestio de todos los administradores autorizados.</w:t>
      </w:r>
    </w:p>
    <w:p>
      <w:pPr>
        <w:pStyle w:val="ListBullet"/>
      </w:pPr>
      <w:r>
        <w:t xml:space="preserve">  **Restricción de Acceso SSH:** Configurar en el firewall de Elestio para que el acceso SSH al servidor requiera llave privada (sin contraseña) y restringir el puerto SSH (22) únicamente a las IPs de administración.</w:t>
      </w:r>
    </w:p>
    <w:p>
      <w:pPr>
        <w:pStyle w:val="Heading3"/>
      </w:pPr>
      <w:r>
        <w:t>2. Dimensionamiento del Servidor y Control de Recursos (OOM Prevention)</w:t>
      </w:r>
    </w:p>
    <w:p>
      <w:pPr>
        <w:pStyle w:val="ListBullet"/>
      </w:pPr>
      <w:r>
        <w:t xml:space="preserve">  **Tamaño del Servidor:** Elegir un plan en Elestio de mínimo **4 vCPUs y 8 GB o 16 GB de RAM** con almacenamiento NVMe/SSD de **200 GB**.</w:t>
      </w:r>
    </w:p>
    <w:p>
      <w:pPr>
        <w:pStyle w:val="ListBullet"/>
      </w:pPr>
      <w:r>
        <w:t xml:space="preserve">  **Cifrado en Reposo:** Habilitar la opción de cifrado de volumen de almacenamiento (Encryption at Rest) ofrecida por el proveedor de cloud subyacente.</w:t>
      </w:r>
    </w:p>
    <w:p>
      <w:pPr>
        <w:pStyle w:val="ListBullet"/>
      </w:pPr>
      <w:r>
        <w:t xml:space="preserve">  **Configuración de Límites en Docker (Crítico para OCR):**</w:t>
      </w:r>
    </w:p>
    <w:p>
      <w:r>
        <w:t xml:space="preserve">    En la pestaña de configuración del servicio en Elestio (o editando el `docker-compose.yml`), limitar los recursos de los contenedores para evitar que el procesamiento de OCR (Tesseract) consuma toda la memoria física del host y cause caídas de PostgreSQL.</w:t>
        <w:br/>
      </w:r>
    </w:p>
    <w:p>
      <w:r>
        <w:rPr>
          <w:rFonts w:ascii="Courier New" w:hAnsi="Courier New"/>
        </w:rPr>
        <w:t xml:space="preserve">    services:</w:t>
        <w:br/>
      </w:r>
    </w:p>
    <w:p>
      <w:r>
        <w:rPr>
          <w:rFonts w:ascii="Courier New" w:hAnsi="Courier New"/>
        </w:rPr>
        <w:t xml:space="preserve">      mayan-app:</w:t>
        <w:br/>
      </w:r>
    </w:p>
    <w:p>
      <w:r>
        <w:rPr>
          <w:rFonts w:ascii="Courier New" w:hAnsi="Courier New"/>
        </w:rPr>
        <w:t xml:space="preserve">        deploy:</w:t>
        <w:br/>
      </w:r>
    </w:p>
    <w:p>
      <w:r>
        <w:rPr>
          <w:rFonts w:ascii="Courier New" w:hAnsi="Courier New"/>
        </w:rPr>
        <w:t xml:space="preserve">          resources:</w:t>
        <w:br/>
      </w:r>
    </w:p>
    <w:p>
      <w:r>
        <w:rPr>
          <w:rFonts w:ascii="Courier New" w:hAnsi="Courier New"/>
        </w:rPr>
        <w:t xml:space="preserve">            limits:</w:t>
        <w:br/>
      </w:r>
    </w:p>
    <w:p>
      <w:r>
        <w:rPr>
          <w:rFonts w:ascii="Courier New" w:hAnsi="Courier New"/>
        </w:rPr>
        <w:t xml:space="preserve">              cpus: '3.0'</w:t>
        <w:br/>
      </w:r>
    </w:p>
    <w:p>
      <w:r>
        <w:rPr>
          <w:rFonts w:ascii="Courier New" w:hAnsi="Courier New"/>
        </w:rPr>
        <w:t xml:space="preserve">              memory: 6G</w:t>
        <w:br/>
      </w:r>
    </w:p>
    <w:p>
      <w:r>
        <w:rPr>
          <w:rFonts w:ascii="Courier New" w:hAnsi="Courier New"/>
        </w:rPr>
        <w:t xml:space="preserve">            reservations:</w:t>
        <w:br/>
      </w:r>
    </w:p>
    <w:p>
      <w:r>
        <w:rPr>
          <w:rFonts w:ascii="Courier New" w:hAnsi="Courier New"/>
        </w:rPr>
        <w:t xml:space="preserve">              memory: 2G</w:t>
        <w:br/>
      </w:r>
    </w:p>
    <w:p>
      <w:r>
        <w:t>---</w:t>
        <w:br/>
      </w:r>
    </w:p>
    <w:p>
      <w:pPr>
        <w:pStyle w:val="Heading2"/>
      </w:pPr>
      <w:r>
        <w:t>🌐 Paso 2: Vinculación del Dominio y Seguridad Perimetral</w:t>
      </w:r>
    </w:p>
    <w:p>
      <w:pPr>
        <w:pStyle w:val="Heading3"/>
      </w:pPr>
      <w:r>
        <w:t>1. Vinculación del Subdominio</w:t>
      </w:r>
    </w:p>
    <w:p>
      <w:pPr>
        <w:pStyle w:val="ListBullet"/>
      </w:pPr>
      <w:r>
        <w:t xml:space="preserve">  Crear el registro CNAME o A apuntando a la dirección IP provista por Elestio desde el panel de administración del dominio `hrinser.cl` (ej: `documentos.hrinser.cl`).</w:t>
      </w:r>
    </w:p>
    <w:p>
      <w:pPr>
        <w:pStyle w:val="ListBullet"/>
      </w:pPr>
      <w:r>
        <w:t xml:space="preserve">  Configurar el subdominio en el panel de Elestio. El proxy reverso integrado generará automáticamente el certificado **SSL/TLS de Let's Encrypt**.</w:t>
      </w:r>
    </w:p>
    <w:p>
      <w:pPr>
        <w:pStyle w:val="Heading3"/>
      </w:pPr>
      <w:r>
        <w:t>2. Endurecimiento de TLS</w:t>
      </w:r>
    </w:p>
    <w:p>
      <w:pPr>
        <w:pStyle w:val="ListBullet"/>
      </w:pPr>
      <w:r>
        <w:t xml:space="preserve">  Forzar la redirección permanente de HTTP a HTTPS.</w:t>
      </w:r>
    </w:p>
    <w:p>
      <w:pPr>
        <w:pStyle w:val="ListBullet"/>
      </w:pPr>
      <w:r>
        <w:t xml:space="preserve">  Desactivar protocolos TLS antiguos (1.0 y 1.1) y permitir únicamente **TLS 1.2 y TLS 1.3** para encriptar los datos en tránsito.</w:t>
      </w:r>
    </w:p>
    <w:p>
      <w:r>
        <w:t>---</w:t>
        <w:br/>
      </w:r>
    </w:p>
    <w:p>
      <w:pPr>
        <w:pStyle w:val="Heading2"/>
      </w:pPr>
      <w:r>
        <w:t>👥 Paso 3: Configurar el Aislamiento Multi-empresa (Muros Lógicos)</w:t>
      </w:r>
    </w:p>
    <w:p>
      <w:r>
        <w:t>Mayan EDMS no tiene multi-tenancy nativo. Para separar de forma segura a las empresas clientes, implementaremos aislamiento lógico mediante ACLs estrictas.</w:t>
        <w:br/>
      </w:r>
    </w:p>
    <w:p>
      <w:pPr>
        <w:pStyle w:val="Heading3"/>
      </w:pPr>
      <w:r>
        <w:t>1. Estructura de Roles y Grupos</w:t>
      </w:r>
    </w:p>
    <w:p>
      <w:pPr>
        <w:pStyle w:val="ListBullet"/>
      </w:pPr>
      <w:r>
        <w:t xml:space="preserve">  **Grupos en Mayan:** Crear un grupo por cada cliente (ej: `Grupo_Cliente_Alfa`, `Grupo_Cliente_Beta`).</w:t>
      </w:r>
    </w:p>
    <w:p>
      <w:pPr>
        <w:pStyle w:val="ListBullet"/>
      </w:pPr>
      <w:r>
        <w:t xml:space="preserve">  **Roles:** Crear un rol por cliente asignado a su respectivo grupo.</w:t>
      </w:r>
    </w:p>
    <w:p>
      <w:pPr>
        <w:pStyle w:val="ListBullet"/>
      </w:pPr>
      <w:r>
        <w:t xml:space="preserve">  **Usuarios:** Cada usuario de un cliente se registra en Mayan y se añade únicamente a su respectivo grupo.</w:t>
      </w:r>
    </w:p>
    <w:p>
      <w:pPr>
        <w:pStyle w:val="Heading3"/>
      </w:pPr>
      <w:r>
        <w:t>2. Listas de Control de Acceso (ACLs) y Document Types</w:t>
      </w:r>
    </w:p>
    <w:p>
      <w:pPr>
        <w:pStyle w:val="ListBullet"/>
      </w:pPr>
      <w:r>
        <w:t xml:space="preserve">  **Tipos de Documento por Cliente:** Crear tipos de documentos específicos por cliente (ej: `Alfa_Liquidaciones`, `Beta_Liquidaciones`).</w:t>
      </w:r>
    </w:p>
    <w:p>
      <w:pPr>
        <w:pStyle w:val="ListBullet"/>
      </w:pPr>
      <w:r>
        <w:t xml:space="preserve">  **Configuración de ACLs:**</w:t>
      </w:r>
    </w:p>
    <w:p>
      <w:pPr>
        <w:pStyle w:val="ListNumber"/>
      </w:pPr>
      <w:r>
        <w:t xml:space="preserve"> Ir a la configuración del Rol `Rol_Cliente_Alfa`.</w:t>
      </w:r>
    </w:p>
    <w:p>
      <w:pPr>
        <w:pStyle w:val="ListNumber"/>
      </w:pPr>
      <w:r>
        <w:t xml:space="preserve"> Asociar los permisos de "Ver documento", "Descargar documento" y "Buscar" únicamente a los tipos de documento pertenecientes a la empresa Alfa.</w:t>
      </w:r>
    </w:p>
    <w:p>
      <w:pPr>
        <w:pStyle w:val="ListNumber"/>
      </w:pPr>
      <w:r>
        <w:t xml:space="preserve"> **Denegar por defecto:** Asegurarse de que el rol de un cliente no tenga ningún permiso (ni de lectura ni de metadatos) sobre los tipos de documentos de otros clientes.</w:t>
      </w:r>
    </w:p>
    <w:p>
      <w:pPr>
        <w:pStyle w:val="Heading3"/>
      </w:pPr>
      <w:r>
        <w:t>3. Autenticación de Usuarios</w:t>
      </w:r>
    </w:p>
    <w:p>
      <w:pPr>
        <w:pStyle w:val="ListBullet"/>
      </w:pPr>
      <w:r>
        <w:t xml:space="preserve">  Activar la opción de **Doble Factor de Autenticación (2FA) obligatorio en Mayan EDMS** para todos los usuarios que ingresen a la plataforma.</w:t>
      </w:r>
    </w:p>
    <w:p>
      <w:r>
        <w:t>---</w:t>
        <w:br/>
      </w:r>
    </w:p>
    <w:p>
      <w:pPr>
        <w:pStyle w:val="Heading2"/>
      </w:pPr>
      <w:r>
        <w:t>📂 Paso 4: Ingesta Controlada y Monitoreo de los 100 GB</w:t>
      </w:r>
    </w:p>
    <w:p>
      <w:r>
        <w:t>Para evitar la saturación del servidor con el procesamiento inicial de OCR de los 100 GB históricos, el proceso se realizará en lotes.</w:t>
        <w:br/>
      </w:r>
    </w:p>
    <w:p>
      <w:pPr>
        <w:pStyle w:val="Heading3"/>
      </w:pPr>
      <w:r>
        <w:t>1. Ingesta por Lotes (Batching)</w:t>
      </w:r>
    </w:p>
    <w:p>
      <w:pPr>
        <w:pStyle w:val="ListBullet"/>
      </w:pPr>
      <w:r>
        <w:t xml:space="preserve">  No subir los 100 GB en un solo bloque.</w:t>
      </w:r>
    </w:p>
    <w:p>
      <w:pPr>
        <w:pStyle w:val="ListBullet"/>
      </w:pPr>
      <w:r>
        <w:t xml:space="preserve">  Dividir el contenido en lotes de máximo 10 GB o por carpetas de empresas.</w:t>
      </w:r>
    </w:p>
    <w:p>
      <w:pPr>
        <w:pStyle w:val="ListBullet"/>
      </w:pPr>
      <w:r>
        <w:t xml:space="preserve">  Subir el lote 1, verificar que los workers de Celery/Tesseract comiencen el procesamiento y monitorear el consumo de CPU/RAM en Elestio. Una vez completado el procesamiento del lote, proceder con el siguiente.</w:t>
      </w:r>
    </w:p>
    <w:p>
      <w:pPr>
        <w:pStyle w:val="Heading3"/>
      </w:pPr>
      <w:r>
        <w:t>2. Monitoreo de Recursos</w:t>
      </w:r>
    </w:p>
    <w:p>
      <w:pPr>
        <w:pStyle w:val="ListBullet"/>
      </w:pPr>
      <w:r>
        <w:t xml:space="preserve">  Monitorear el uso de disco y memoria desde el dashboard de Elestio durante el proceso.</w:t>
      </w:r>
    </w:p>
    <w:p>
      <w:pPr>
        <w:pStyle w:val="ListBullet"/>
      </w:pPr>
      <w:r>
        <w:t xml:space="preserve">  Configurar alertas de uso de disco superior al 85%.</w:t>
      </w:r>
    </w:p>
    <w:p>
      <w:r>
        <w:t>---</w:t>
        <w:br/>
      </w:r>
    </w:p>
    <w:p>
      <w:pPr>
        <w:pStyle w:val="Heading2"/>
      </w:pPr>
      <w:r>
        <w:t>📊 Paso 5: Gestión de Backups, Auditoría y Cumplimiento de la Ley 21.719</w:t>
      </w:r>
    </w:p>
    <w:p>
      <w:pPr>
        <w:pStyle w:val="Heading3"/>
      </w:pPr>
      <w:r>
        <w:t>1. Copias de Seguridad Encriptadas</w:t>
      </w:r>
    </w:p>
    <w:p>
      <w:pPr>
        <w:pStyle w:val="ListBullet"/>
      </w:pPr>
      <w:r>
        <w:t xml:space="preserve">  Configurar backups diarios automatizados en Elestio en la madrugada.</w:t>
      </w:r>
    </w:p>
    <w:p>
      <w:pPr>
        <w:pStyle w:val="ListBullet"/>
      </w:pPr>
      <w:r>
        <w:t xml:space="preserve">  **Destino seguro:** Almacenar los backups en un storage S3 externo compatible configurado con llaves de acceso restringidas y cifrado del lado del servidor.</w:t>
      </w:r>
    </w:p>
    <w:p>
      <w:pPr>
        <w:pStyle w:val="Heading3"/>
      </w:pPr>
      <w:r>
        <w:t>2. Logs de Auditoría Inmutables</w:t>
      </w:r>
    </w:p>
    <w:p>
      <w:pPr>
        <w:pStyle w:val="ListBullet"/>
      </w:pPr>
      <w:r>
        <w:t xml:space="preserve">  Activar el sistema de **Event Logging** interno de Mayan EDMS.</w:t>
      </w:r>
    </w:p>
    <w:p>
      <w:pPr>
        <w:pStyle w:val="ListBullet"/>
      </w:pPr>
      <w:r>
        <w:t xml:space="preserve">  Asegurar el registro persistente de los eventos críticos:</w:t>
      </w:r>
    </w:p>
    <w:p>
      <w:pPr>
        <w:pStyle w:val="ListBullet"/>
      </w:pPr>
      <w:r>
        <w:t xml:space="preserve">  Inicio de sesión y fallas de autenticación (IP y origen).</w:t>
      </w:r>
    </w:p>
    <w:p>
      <w:pPr>
        <w:pStyle w:val="ListBullet"/>
      </w:pPr>
      <w:r>
        <w:t xml:space="preserve">  Descarga de documentos confidenciales.</w:t>
      </w:r>
    </w:p>
    <w:p>
      <w:pPr>
        <w:pStyle w:val="ListBullet"/>
      </w:pPr>
      <w:r>
        <w:t xml:space="preserve">  Modificación de permisos y ACLs.</w:t>
      </w:r>
    </w:p>
    <w:p>
      <w:pPr>
        <w:pStyle w:val="ListBullet"/>
      </w:pPr>
      <w:r>
        <w:t xml:space="preserve">  Establecer una política de retención de logs de auditoría de mínimo 2 años.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