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nts/PTSansNarrow-bold.ttf" ContentType="application/x-font-ttf"/>
  <Override PartName="/word/fonts/PTSansNarrow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Open Sans" w:cs="Open Sans" w:eastAsia="Open Sans" w:hAnsi="Open Sans"/>
          <w:color w:val="695d46"/>
          <w:sz w:val="24"/>
          <w:szCs w:val="24"/>
        </w:rPr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línea horizontal" id="3" name="image2.png"/>
            <a:graphic>
              <a:graphicData uri="http://schemas.openxmlformats.org/drawingml/2006/picture">
                <pic:pic>
                  <pic:nvPicPr>
                    <pic:cNvPr descr="línea horizontal" id="0" name="image2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10263" cy="3940175"/>
            <wp:effectExtent b="0" l="0" r="0" t="0"/>
            <wp:docPr descr="Marcador de posición de imagen" id="7" name="image4.jpg"/>
            <a:graphic>
              <a:graphicData uri="http://schemas.openxmlformats.org/drawingml/2006/picture">
                <pic:pic>
                  <pic:nvPicPr>
                    <pic:cNvPr descr="Marcador de posición de imagen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>California Housing · Práctica 2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>05/10/2026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Alejandro Gracia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Dan Bolocan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CPIFP Los Enlaces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sz w:val="28"/>
          <w:szCs w:val="28"/>
          <w:rtl w:val="0"/>
        </w:rPr>
        <w:t xml:space="preserve">2º DAW diurno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T Sans Narrow" w:cs="PT Sans Narrow" w:eastAsia="PT Sans Narrow" w:hAnsi="PT Sans Narro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bwyzxlzah28n" w:id="3"/>
      <w:bookmarkEnd w:id="3"/>
      <w:r w:rsidDel="00000000" w:rsidR="00000000" w:rsidRPr="00000000">
        <w:rPr>
          <w:rtl w:val="0"/>
        </w:rPr>
        <w:t>1) Comparación de plataformas cloud [RA2.A]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0"/>
          <w:rtl w:val="0"/>
        </w:rPr>
        <w:t>Se comparan Render y Railway para desplegar la aplicación como servicio web con URL pública.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rPr>
                <w:b/>
                <w:sz w:val="19"/>
              </w:rPr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/>
                <w:sz w:val="19"/>
              </w:rPr>
              <w:t>Render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/>
                <w:sz w:val="19"/>
              </w:rPr>
              <w:t>Railway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rPr>
                <w:b/>
                <w:sz w:val="19"/>
              </w:rPr>
              <w:t>Facilidad de uso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 w:val="0"/>
                <w:sz w:val="19"/>
              </w:rPr>
              <w:t>Muy alta: se conecta el repositorio de GitHub, se indican el Build Command y el Start Command y despliega solo en cada push.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 w:val="0"/>
                <w:sz w:val="19"/>
              </w:rPr>
              <w:t>Alta: se despliega desde GitHub y detecta el proyecto automáticamente, pero la interfaz (servicios, variables, dominio público) es algo menos guiada.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</w:pPr>
            <w:r>
              <w:rPr>
                <w:b/>
                <w:sz w:val="19"/>
              </w:rPr>
              <w:t>Plan gratuito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 w:val="0"/>
                <w:sz w:val="19"/>
              </w:rPr>
              <w:t>Plan Free: 750 horas de instancia al mes por workspace, una sola instancia.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b w:val="0"/>
                <w:sz w:val="19"/>
              </w:rPr>
              <w:t>Prueba de 30 días con 5 $ de crédito único; después, plan Free con 1 $ de crédito al mes que no se acumula.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 w:val="0"/>
            </w:pPr>
            <w:r>
              <w:rPr>
                <w:b/>
                <w:sz w:val="19"/>
              </w:rPr>
              <w:t>Límites principales</w:t>
            </w:r>
          </w:p>
        </w:tc>
        <w:tc>
          <w:tcPr>
            <w:tcW w:type="dxa" w:w="3120"/>
          </w:tcPr>
          <w:p>
            <w:pPr>
              <w:keepNext w:val="0"/>
            </w:pPr>
            <w:r>
              <w:rPr>
                <w:b w:val="0"/>
                <w:sz w:val="19"/>
              </w:rPr>
              <w:t>El servicio se suspende tras 15 min sin tráfico y tarda cerca de 1 min en reactivarse; sin disco persistente ni acceso SSH.</w:t>
            </w:r>
          </w:p>
        </w:tc>
        <w:tc>
          <w:tcPr>
            <w:tcW w:type="dxa" w:w="3120"/>
          </w:tcPr>
          <w:p>
            <w:pPr>
              <w:keepNext w:val="0"/>
            </w:pPr>
            <w:r>
              <w:rPr>
                <w:b w:val="0"/>
                <w:sz w:val="19"/>
              </w:rPr>
              <w:t>Prueba limitada a 1 GB de RAM y CPU compartida; al agotarse el crédito el servicio se detiene. No se documenta suspensión por inactividad.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0"/>
          <w:rtl w:val="0"/>
        </w:rPr>
        <w:t>Conclusión: se usa Render porque es el que pide la práctica, su plan gratuito no caduca y la configuración es más sencilla; su inconveniente es el arranque en frío tras la suspensión. Fuentes: documentación oficial de Render (render.com/docs/free) y de Railway (docs.railway.com, free trial), consultadas el 05/10/2026.</w:t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bwyzxlzah28n" w:id="3"/>
      <w:bookmarkEnd w:id="3"/>
      <w:r w:rsidDel="00000000" w:rsidR="00000000" w:rsidRPr="00000000">
        <w:rPr>
          <w:rtl w:val="0"/>
        </w:rPr>
        <w:t>2) Selección y configuración de la plataforma [RA2.B]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0"/>
          <w:rtl w:val="0"/>
        </w:rPr>
        <w:t>Se ha creado una cuenta en Render iniciando sesión con GitHub y se ha subido el proyecto a un repositorio público que contiene el código que genera el modelo (model_training.py y housing.csv), el modelo entrenado (modelo_california.pkl), app.py, requirements.txt y README.md.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0"/>
          <w:highlight w:val="yellow"/>
          <w:rtl w:val="0"/>
        </w:rPr>
        <w:t>Repositorio de GitHub: https://github.com/&lt;usuario&gt;/&lt;repositorio&gt;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/>
          <w:highlight w:val="yellow"/>
          <w:rtl w:val="0"/>
        </w:rPr>
        <w:t>[PENDIENTE: captura del repositorio de GitHub (con el nombre del autor y P2)]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/>
          <w:highlight w:val="yellow"/>
          <w:rtl w:val="0"/>
        </w:rPr>
        <w:t>[PENDIENTE: captura del repositorio conectado en Render]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/>
          <w:highlight w:val="yellow"/>
          <w:rtl w:val="0"/>
        </w:rPr>
        <w:t>[PENDIENTE: captura de la configuración del servicio en Render (plan Free, Build Command, Start Command)]</w:t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bwyzxlzah28n" w:id="3"/>
      <w:bookmarkEnd w:id="3"/>
      <w:r w:rsidDel="00000000" w:rsidR="00000000" w:rsidRPr="00000000">
        <w:rPr>
          <w:rtl w:val="0"/>
        </w:rPr>
        <w:t>3) Instalación y configuración de dependencias [RA2.C]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0"/>
          <w:rtl w:val="0"/>
        </w:rPr>
        <w:t>requirements.txt contiene solo lo necesario para ejecutar app.py en producción, con versiones fijadas para que el modelo, serializado con scikit-learn 1.9.1, se cargue igual que se entrenó: fastapi y uvicorn (servidor web), requests (descarga del modelo), pandas y numpy (entrada del modelo), scikit-learn, scipy y joblib (carga y ejecución del modelo). No se incluye matplotlib porque solo se usaba para las gráficas de la práctica 1. Recurso: requirements.txt (también en el repositorio).</w:t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bwyzxlzah28n" w:id="3"/>
      <w:bookmarkEnd w:id="3"/>
      <w:r w:rsidDel="00000000" w:rsidR="00000000" w:rsidRPr="00000000">
        <w:rPr>
          <w:rtl w:val="0"/>
        </w:rPr>
        <w:t>4) Despliegue de la aplicación de IA [RA2.D]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0"/>
          <w:rtl w:val="0"/>
        </w:rPr>
        <w:t>Se ha desplegado app.py (FastAPI) en Render con el comando de arranque uvicorn app:app --host 0.0.0.0 --port $PORT. GET / devuelve {"status": "ok"} y POST /predict devuelve el precio medio estimado (MedHouseVal, en cientos de miles de dólares).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0"/>
          <w:highlight w:val="yellow"/>
          <w:rtl w:val="0"/>
        </w:rPr>
        <w:t>URL pública del servicio: https://&lt;tu-servicio&gt;.onrender.com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/>
          <w:highlight w:val="yellow"/>
          <w:rtl w:val="0"/>
        </w:rPr>
        <w:t>[PENDIENTE: captura de la respuesta de GET / (health-check)]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/>
          <w:highlight w:val="yellow"/>
          <w:rtl w:val="0"/>
        </w:rPr>
        <w:t>[PENDIENTE: captura de una predicción en POST /predict]</w:t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bwyzxlzah28n" w:id="3"/>
      <w:bookmarkEnd w:id="3"/>
      <w:r w:rsidDel="00000000" w:rsidR="00000000" w:rsidRPr="00000000">
        <w:rPr>
          <w:rtl w:val="0"/>
        </w:rPr>
        <w:t>5) Pruebas de funcionalidad y rendimiento [RA2.E]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0"/>
          <w:rtl w:val="0"/>
        </w:rPr>
        <w:t>Mediciones con medir_tiempos.py contra el servicio desplegado en Render. La primera petición incluye el arranque en frío si el servicio estaba suspendido.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</w:tcPr>
          <w:p>
            <w:pPr>
              <w:keepNext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/>
                <w:sz w:val="19"/>
              </w:rPr>
              <w:t>Petición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/>
                <w:sz w:val="19"/>
              </w:rPr>
              <w:t>Tiempo (ms)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GET /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[rellenar]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[rellenar]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GET /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[rellenar]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[rellenar]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POST /predict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[rellenar]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[rellenar]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POST /predict (MedInc = 3.0)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[rellenar]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[rellenar]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POST /predict (Los Ángeles)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[rellenar]</w:t>
            </w:r>
          </w:p>
        </w:tc>
        <w:tc>
          <w:tcPr>
            <w:tcW w:type="dxa" w:w="2340"/>
          </w:tcPr>
          <w:p>
            <w:pPr>
              <w:keepNext/>
            </w:pPr>
            <w:r>
              <w:rPr>
                <w:b w:val="0"/>
                <w:sz w:val="19"/>
              </w:rPr>
              <w:t>[rellenar]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keepNext w:val="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2340"/>
          </w:tcPr>
          <w:p>
            <w:pPr>
              <w:keepNext w:val="0"/>
            </w:pPr>
            <w:r>
              <w:rPr>
                <w:b w:val="0"/>
                <w:sz w:val="19"/>
              </w:rPr>
              <w:t>POST /predict (cuerpo inválido)</w:t>
            </w:r>
          </w:p>
        </w:tc>
        <w:tc>
          <w:tcPr>
            <w:tcW w:type="dxa" w:w="2340"/>
          </w:tcPr>
          <w:p>
            <w:pPr>
              <w:keepNext w:val="0"/>
            </w:pPr>
            <w:r>
              <w:rPr>
                <w:b w:val="0"/>
                <w:sz w:val="19"/>
              </w:rPr>
              <w:t>[rellenar]</w:t>
            </w:r>
          </w:p>
        </w:tc>
        <w:tc>
          <w:tcPr>
            <w:tcW w:type="dxa" w:w="2340"/>
          </w:tcPr>
          <w:p>
            <w:pPr>
              <w:keepNext w:val="0"/>
            </w:pPr>
            <w:r>
              <w:rPr>
                <w:b w:val="0"/>
                <w:sz w:val="19"/>
              </w:rPr>
              <w:t>[rellenar]</w:t>
            </w:r>
          </w:p>
        </w:tc>
      </w:tr>
    </w:tbl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/>
          <w:highlight w:val="yellow"/>
          <w:rtl w:val="0"/>
        </w:rPr>
        <w:t>[PENDIENTE: copiar aquí la tabla que imprime medir_tiempos.py y comentar el arranque en frío de la petición 1]</w:t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bwyzxlzah28n" w:id="3"/>
      <w:bookmarkEnd w:id="3"/>
      <w:r w:rsidDel="00000000" w:rsidR="00000000" w:rsidRPr="00000000">
        <w:rPr>
          <w:rtl w:val="0"/>
        </w:rPr>
        <w:t>6) Documentación del proceso [RA2.F]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0"/>
          <w:rtl w:val="0"/>
        </w:rPr>
        <w:t>Los pasos seguidos (creación de la cuenta, configuración del repositorio, comandos de build y de despliegue y URL final) están documentados en README.md, incluido en el ZIP y en el repositorio de GitHub.</w:t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bwyzxlzah28n" w:id="3"/>
      <w:bookmarkEnd w:id="3"/>
      <w:r w:rsidDel="00000000" w:rsidR="00000000" w:rsidRPr="00000000">
        <w:rPr>
          <w:rtl w:val="0"/>
        </w:rPr>
        <w:t>7) Principios éticos y de seguridad [RA2.G]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0"/>
          <w:rtl w:val="0"/>
        </w:rPr>
        <w:t>El dataset California Housing no contiene datos personales sensibles: cada fila es una zona censal con valores agregados (ingreso mediano, edad media de las viviendas, población, ocupación media y coordenadas de la zona), no una persona ni una vivienda concreta, y no incluye nombres, direcciones ni identificadores, por lo que el riesgo de reidentificación es muy bajo. El problema está en los sesgos: el modelo se apoya sobre todo en el ingreso y en la latitud y longitud, que pueden funcionar como indicadores indirectos del nivel socioeconómico o de la composición del barrio, de modo que podría asignar sistemáticamente precios menores a ciertas zonas y reforzar desigualdades existentes. Además, los datos proceden del censo de 1990 y el precio está limitado a 500.000 $ (992 zonas), por lo que el modelo no representa el mercado actual y infravalora las zonas más caras. No debería usarse para decisiones sobre personas (créditos, seguros, tasaciones) sin auditar antes su error por zona y sin dejar claros sus límites.</w:t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bwyzxlzah28n" w:id="3"/>
      <w:bookmarkEnd w:id="3"/>
      <w:r w:rsidDel="00000000" w:rsidR="00000000" w:rsidRPr="00000000">
        <w:rPr>
          <w:rtl w:val="0"/>
        </w:rPr>
        <w:t>8) Integración de herramientas cloud [RA2.H]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0"/>
          <w:rtl w:val="0"/>
        </w:rPr>
        <w:t>app.py descarga modelo_california.pkl desde GitHub (URL raw) cuando no lo encuentra en local al arrancar: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hAnsi="Courier New"/>
          <w:b w:val="0"/>
          <w:sz w:val="17"/>
          <w:rtl w:val="0"/>
        </w:rPr>
        <w:t>MODEL_URL = os.getenv(</w:t>
        <w:br/>
        <w:t xml:space="preserve">    "MODEL_URL",</w:t>
        <w:br/>
        <w:t xml:space="preserve">    "https://raw.githubusercontent.com/&lt;usuario&gt;/&lt;repositorio&gt;/main/modelo_california.pkl",</w:t>
        <w:br/>
        <w:t>)</w:t>
        <w:br/>
        <w:t/>
        <w:br/>
        <w:t>def download_model(url: str | None = None, path: str = MODEL_PATH):</w:t>
        <w:br/>
        <w:t xml:space="preserve">    url = url or MODEL_URL</w:t>
        <w:br/>
        <w:t xml:space="preserve">    response = requests.get(url, timeout=DOWNLOAD_TIMEOUT)</w:t>
        <w:br/>
        <w:t xml:space="preserve">    response.raise_for_status()</w:t>
        <w:br/>
        <w:t xml:space="preserve">    with open(path, "wb") as f:</w:t>
        <w:br/>
        <w:t xml:space="preserve">        f.write(response.content)</w:t>
        <w:br/>
        <w:t/>
        <w:br/>
        <w:t>def load_model(path: str = MODEL_PATH):</w:t>
        <w:br/>
        <w:t xml:space="preserve">    if not os.path.exists(path):</w:t>
        <w:br/>
        <w:t xml:space="preserve">        print(f"{path} no encontrado en local, descargando...")</w:t>
        <w:br/>
        <w:t xml:space="preserve">        download_model()</w:t>
        <w:br/>
        <w:t xml:space="preserve">    return joblib.load(path)</w:t>
      </w:r>
    </w:p>
    <w:sectPr>
      <w:headerReference r:id="rId12" w:type="default"/>
      <w:headerReference r:id="rId13" w:type="first"/>
      <w:footerReference r:id="rId14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16"/>
    <w:bookmarkEnd w:id="16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s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jp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