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800"/>
      </w:pPr>
      <w:r>
        <w:rPr>
          <w:rFonts w:ascii="Arial" w:hAnsi="Arial" w:cs="Arial"/>
          <w:sz w:val="48"/>
          <w:sz-cs w:val="48"/>
          <w:b/>
          <w:color w:val="1A3A5C"/>
        </w:rPr>
        <w:t xml:space="preserve">INVESTMENT CASE</w:t>
      </w:r>
    </w:p>
    <w:p>
      <w:pPr>
        <w:spacing w:before="80"/>
      </w:pPr>
      <w:r>
        <w:rPr>
          <w:rFonts w:ascii="Arial" w:hAnsi="Arial" w:cs="Arial"/>
          <w:sz w:val="36"/>
          <w:sz-cs w:val="36"/>
          <w:color w:val="2E6DA4"/>
        </w:rPr>
        <w:t xml:space="preserve">Digital Support for Medication Adherence in Older People</w:t>
      </w:r>
    </w:p>
    <w:p>
      <w:pPr>
        <w:spacing w:before="60" w:after="60"/>
      </w:pPr>
      <w:r>
        <w:rPr>
          <w:rFonts w:ascii="Times" w:hAnsi="Times" w:cs="Times"/>
          <w:sz w:val="24"/>
          <w:sz-cs w:val="24"/>
        </w:rPr>
        <w:t xml:space="preserve"/>
      </w:r>
    </w:p>
    <w:p>
      <w:pPr>
        <w:spacing w:before="120" w:after="80"/>
      </w:pPr>
      <w:r>
        <w:rPr>
          <w:rFonts w:ascii="Arial" w:hAnsi="Arial" w:cs="Arial"/>
          <w:sz w:val="22"/>
          <w:sz-cs w:val="22"/>
          <w:color w:val="555555"/>
        </w:rPr>
        <w:t xml:space="preserve">Prepared for: Health Economics | NHS Integrated Care</w:t>
      </w:r>
    </w:p>
    <w:p>
      <w:pPr>
        <w:spacing w:after="400"/>
      </w:pPr>
      <w:r>
        <w:rPr>
          <w:rFonts w:ascii="Arial" w:hAnsi="Arial" w:cs="Arial"/>
          <w:sz w:val="22"/>
          <w:sz-cs w:val="22"/>
          <w:color w:val="555555"/>
        </w:rPr>
        <w:t xml:space="preserve">March 2026</w:t>
      </w:r>
    </w:p>
    <w:p>
      <w:pPr>
        <w:spacing w:before="400" w:after="160"/>
      </w:pPr>
      <w:r>
        <w:rPr>
          <w:rFonts w:ascii="Arial" w:hAnsi="Arial" w:cs="Arial"/>
          <w:sz w:val="36"/>
          <w:sz-cs w:val="36"/>
          <w:b/>
          <w:color w:val="1A3A5C"/>
        </w:rPr>
        <w:t xml:space="preserve">Executive Summary</w:t>
      </w:r>
    </w:p>
    <w:p>
      <w:pPr>
        <w:spacing w:before="80" w:after="120"/>
      </w:pPr>
      <w:r>
        <w:rPr>
          <w:rFonts w:ascii="Arial" w:hAnsi="Arial" w:cs="Arial"/>
          <w:sz w:val="22"/>
          <w:sz-cs w:val="22"/>
        </w:rPr>
        <w:t xml:space="preserve">Medication non-adherence in older people represents one of the most significant and addressable cost drivers facing the NHS. Conservative estimates place the annual cost to NHS England at £930 million across five major long-term conditions, with post-discharge medication harm in older adults alone accounting for approximately £400 million — over 90% of which flows to acute hospital trusts through unplanned readmissions.</w:t>
      </w:r>
    </w:p>
    <w:p>
      <w:pPr>
        <w:spacing w:before="60" w:after="60"/>
      </w:pPr>
      <w:r>
        <w:rPr>
          <w:rFonts w:ascii="Times" w:hAnsi="Times" w:cs="Times"/>
          <w:sz w:val="24"/>
          <w:sz-cs w:val="24"/>
        </w:rPr>
        <w:t xml:space="preserve"/>
      </w:r>
    </w:p>
    <w:p>
      <w:pPr>
        <w:spacing w:before="80" w:after="120"/>
      </w:pPr>
      <w:r>
        <w:rPr>
          <w:rFonts w:ascii="Arial" w:hAnsi="Arial" w:cs="Arial"/>
          <w:sz w:val="22"/>
          <w:sz-cs w:val="22"/>
        </w:rPr>
        <w:t xml:space="preserve">This paper sets out: (1) the evidence base for the cost of non-adherence and where those costs fall across the system; (2) analysis of which intervention routes offer the greatest potential for savings; and (3) structured investment cases for the three highest-value digital options.</w:t>
      </w:r>
    </w:p>
    <w:p>
      <w:pPr>
        <w:spacing w:before="60" w:after="60"/>
      </w:pPr>
      <w:r>
        <w:rPr>
          <w:rFonts w:ascii="Times" w:hAnsi="Times" w:cs="Times"/>
          <w:sz w:val="24"/>
          <w:sz-cs w:val="24"/>
        </w:rPr>
        <w:t xml:space="preserve"/>
      </w:r>
    </w:p>
    <w:p>
      <w:pPr>
        <w:spacing w:after="60"/>
      </w:pPr>
      <w:r>
        <w:rPr>
          <w:rFonts w:ascii="Arial" w:hAnsi="Arial" w:cs="Arial"/>
          <w:sz w:val="22"/>
          <w:sz-cs w:val="22"/>
          <w:b/>
          <w:color w:val="2E6DA4"/>
        </w:rPr>
        <w:t xml:space="preserve">Key Finding</w:t>
      </w:r>
    </w:p>
    <w:p>
      <w:pPr/>
      <w:r>
        <w:rPr>
          <w:rFonts w:ascii="Arial" w:hAnsi="Arial" w:cs="Arial"/>
          <w:sz w:val="22"/>
          <w:sz-cs w:val="22"/>
        </w:rPr>
        <w:t xml:space="preserve">If a digital adherence programme achieved even a 10% reduction in non-adherence-related hospital readmissions among older adults, the modelled saving to NHS acute providers exceeds £35 million per annum — before accounting for primary care avoidance and reduced community pharmacy workload.</w:t>
      </w:r>
    </w:p>
    <w:p>
      <w:pPr>
        <w:spacing w:before="60" w:after="60"/>
      </w:pPr>
      <w:r>
        <w:rPr>
          <w:rFonts w:ascii="Times" w:hAnsi="Times" w:cs="Times"/>
          <w:sz w:val="24"/>
          <w:sz-cs w:val="24"/>
        </w:rPr>
        <w:t xml:space="preserve"/>
      </w:r>
    </w:p>
    <w:p>
      <w:pPr>
        <w:spacing w:before="400" w:after="160"/>
      </w:pPr>
      <w:r>
        <w:rPr>
          <w:rFonts w:ascii="Arial" w:hAnsi="Arial" w:cs="Arial"/>
          <w:sz w:val="36"/>
          <w:sz-cs w:val="36"/>
          <w:b/>
          <w:color w:val="1A3A5C"/>
        </w:rPr>
        <w:t xml:space="preserve">Section 1: The Cost of Medication Non-Adherence in Older People</w:t>
      </w:r>
    </w:p>
    <w:p>
      <w:pPr>
        <w:spacing w:before="280" w:after="120"/>
      </w:pPr>
      <w:r>
        <w:rPr>
          <w:rFonts w:ascii="Arial" w:hAnsi="Arial" w:cs="Arial"/>
          <w:sz w:val="28"/>
          <w:sz-cs w:val="28"/>
          <w:b/>
          <w:color w:val="2E6DA4"/>
        </w:rPr>
        <w:t xml:space="preserve">1.1 Scale of the Problem</w:t>
      </w:r>
    </w:p>
    <w:p>
      <w:pPr>
        <w:spacing w:before="80" w:after="120"/>
      </w:pPr>
      <w:r>
        <w:rPr>
          <w:rFonts w:ascii="Arial" w:hAnsi="Arial" w:cs="Arial"/>
          <w:sz w:val="22"/>
          <w:sz-cs w:val="22"/>
        </w:rPr>
        <w:t xml:space="preserve">Medication non-adherence — defined as taking less than 80% of a prescribed dose — is endemic in older populations managing long-term conditions. Between 25% and 50% of medicines prescribed for long-term conditions are not taken as recommended. In the post-discharge period specifically, approximately 29% of older adults are non-adherent within eight weeks of leaving hospital.</w:t>
      </w:r>
    </w:p>
    <w:p>
      <w:pPr>
        <w:spacing w:before="60" w:after="60"/>
      </w:pPr>
      <w:r>
        <w:rPr>
          <w:rFonts w:ascii="Times" w:hAnsi="Times" w:cs="Times"/>
          <w:sz w:val="24"/>
          <w:sz-cs w:val="24"/>
        </w:rPr>
        <w:t xml:space="preserve"/>
      </w:r>
    </w:p>
    <w:p>
      <w:pPr>
        <w:spacing w:before="80" w:after="120"/>
      </w:pPr>
      <w:r>
        <w:rPr>
          <w:rFonts w:ascii="Arial" w:hAnsi="Arial" w:cs="Arial"/>
          <w:sz w:val="22"/>
          <w:sz-cs w:val="22"/>
        </w:rPr>
        <w:t xml:space="preserve">Older people are disproportionately affected for several compounding reasons: polypharmacy (managing multiple medicines simultaneously), age-related changes in cognition and dexterity, complex dosing regimens, limited health literacy, and reduced social support for self-management.</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1.2 Total System Cost</w:t>
      </w:r>
    </w:p>
    <w:p>
      <w:pPr/>
      <w:r>
        <w:rPr>
          <w:rFonts w:ascii="Arial" w:hAnsi="Arial" w:cs="Arial"/>
          <w:sz w:val="20"/>
          <w:sz-cs w:val="20"/>
          <w:b/>
          <w:color w:val="FFFFFF"/>
        </w:rPr>
        <w:t xml:space="preserve">Source</w:t>
      </w:r>
    </w:p>
    <w:p>
      <w:pPr/>
      <w:r>
        <w:rPr>
          <w:rFonts w:ascii="Arial" w:hAnsi="Arial" w:cs="Arial"/>
          <w:sz w:val="20"/>
          <w:sz-cs w:val="20"/>
          <w:b/>
          <w:color w:val="FFFFFF"/>
        </w:rPr>
        <w:t xml:space="preserve">Estimated Annual Cost</w:t>
      </w:r>
    </w:p>
    <w:p>
      <w:pPr/>
      <w:r>
        <w:rPr>
          <w:rFonts w:ascii="Arial" w:hAnsi="Arial" w:cs="Arial"/>
          <w:sz w:val="20"/>
          <w:sz-cs w:val="20"/>
          <w:b/>
          <w:color w:val="FFFFFF"/>
        </w:rPr>
        <w:t xml:space="preserve">Scope</w:t>
      </w:r>
    </w:p>
    <w:p>
      <w:pPr/>
      <w:r>
        <w:rPr>
          <w:rFonts w:ascii="Arial" w:hAnsi="Arial" w:cs="Arial"/>
          <w:sz w:val="20"/>
          <w:sz-cs w:val="20"/>
        </w:rPr>
        <w:t xml:space="preserve">NICE costing report (ADR-related admissions)</w:t>
      </w:r>
    </w:p>
    <w:p>
      <w:pPr/>
      <w:r>
        <w:rPr>
          <w:rFonts w:ascii="Arial" w:hAnsi="Arial" w:cs="Arial"/>
          <w:sz w:val="20"/>
          <w:sz-cs w:val="20"/>
        </w:rPr>
        <w:t xml:space="preserve">£530 million</w:t>
      </w:r>
    </w:p>
    <w:p>
      <w:pPr/>
      <w:r>
        <w:rPr>
          <w:rFonts w:ascii="Arial" w:hAnsi="Arial" w:cs="Arial"/>
          <w:sz w:val="20"/>
          <w:sz-cs w:val="20"/>
        </w:rPr>
        <w:t xml:space="preserve">Preventable ADR-related hospital admissions, England</w:t>
      </w:r>
    </w:p>
    <w:p>
      <w:pPr/>
      <w:r>
        <w:rPr>
          <w:rFonts w:ascii="Arial" w:hAnsi="Arial" w:cs="Arial"/>
          <w:sz w:val="20"/>
          <w:sz-cs w:val="20"/>
        </w:rPr>
        <w:t xml:space="preserve">Aston Medication Adherence Study (AMAS)</w:t>
      </w:r>
    </w:p>
    <w:p>
      <w:pPr/>
      <w:r>
        <w:rPr>
          <w:rFonts w:ascii="Arial" w:hAnsi="Arial" w:cs="Arial"/>
          <w:sz w:val="20"/>
          <w:sz-cs w:val="20"/>
        </w:rPr>
        <w:t xml:space="preserve">£500 million+</w:t>
      </w:r>
    </w:p>
    <w:p>
      <w:pPr/>
      <w:r>
        <w:rPr>
          <w:rFonts w:ascii="Arial" w:hAnsi="Arial" w:cs="Arial"/>
          <w:sz w:val="20"/>
          <w:sz-cs w:val="20"/>
        </w:rPr>
        <w:t xml:space="preserve">NHS UK-wide, long-term conditions</w:t>
      </w:r>
    </w:p>
    <w:p>
      <w:pPr/>
      <w:r>
        <w:rPr>
          <w:rFonts w:ascii="Arial" w:hAnsi="Arial" w:cs="Arial"/>
          <w:sz w:val="20"/>
          <w:sz-cs w:val="20"/>
        </w:rPr>
        <w:t xml:space="preserve">iPLATO / Health Foundation estimate</w:t>
      </w:r>
    </w:p>
    <w:p>
      <w:pPr/>
      <w:r>
        <w:rPr>
          <w:rFonts w:ascii="Arial" w:hAnsi="Arial" w:cs="Arial"/>
          <w:sz w:val="20"/>
          <w:sz-cs w:val="20"/>
        </w:rPr>
        <w:t xml:space="preserve">£930 million</w:t>
      </w:r>
    </w:p>
    <w:p>
      <w:pPr/>
      <w:r>
        <w:rPr>
          <w:rFonts w:ascii="Arial" w:hAnsi="Arial" w:cs="Arial"/>
          <w:sz w:val="20"/>
          <w:sz-cs w:val="20"/>
        </w:rPr>
        <w:t xml:space="preserve">Five conditions: asthma, T2D, dyslipidaemia, hypertension, schizophrenia</w:t>
      </w:r>
    </w:p>
    <w:p>
      <w:pPr/>
      <w:r>
        <w:rPr>
          <w:rFonts w:ascii="Arial" w:hAnsi="Arial" w:cs="Arial"/>
          <w:sz w:val="20"/>
          <w:sz-cs w:val="20"/>
        </w:rPr>
        <w:t xml:space="preserve">Post-discharge MRH in older adults (PMC, 2018)</w:t>
      </w:r>
    </w:p>
    <w:p>
      <w:pPr/>
      <w:r>
        <w:rPr>
          <w:rFonts w:ascii="Arial" w:hAnsi="Arial" w:cs="Arial"/>
          <w:sz w:val="20"/>
          <w:sz-cs w:val="20"/>
        </w:rPr>
        <w:t xml:space="preserve">£396 million</w:t>
      </w:r>
    </w:p>
    <w:p>
      <w:pPr/>
      <w:r>
        <w:rPr>
          <w:rFonts w:ascii="Arial" w:hAnsi="Arial" w:cs="Arial"/>
          <w:sz w:val="20"/>
          <w:sz-cs w:val="20"/>
        </w:rPr>
        <w:t xml:space="preserve">Older adults only, post-discharge period, England</w:t>
      </w:r>
    </w:p>
    <w:p>
      <w:pPr/>
      <w:r>
        <w:rPr>
          <w:rFonts w:ascii="Arial" w:hAnsi="Arial" w:cs="Arial"/>
          <w:sz w:val="20"/>
          <w:sz-cs w:val="20"/>
        </w:rPr>
        <w:t xml:space="preserve">Wasted medicines (Royal Pharmaceutical Society)</w:t>
      </w:r>
    </w:p>
    <w:p>
      <w:pPr/>
      <w:r>
        <w:rPr>
          <w:rFonts w:ascii="Arial" w:hAnsi="Arial" w:cs="Arial"/>
          <w:sz w:val="20"/>
          <w:sz-cs w:val="20"/>
        </w:rPr>
        <w:t xml:space="preserve">£300 million</w:t>
      </w:r>
    </w:p>
    <w:p>
      <w:pPr/>
      <w:r>
        <w:rPr>
          <w:rFonts w:ascii="Arial" w:hAnsi="Arial" w:cs="Arial"/>
          <w:sz w:val="20"/>
          <w:sz-cs w:val="20"/>
        </w:rPr>
        <w:t xml:space="preserve">All ages, England, medicines not taken at all</w:t>
      </w:r>
    </w:p>
    <w:p>
      <w:pPr>
        <w:spacing w:before="60" w:after="60"/>
      </w:pPr>
      <w:r>
        <w:rPr>
          <w:rFonts w:ascii="Times" w:hAnsi="Times" w:cs="Times"/>
          <w:sz w:val="24"/>
          <w:sz-cs w:val="24"/>
        </w:rPr>
        <w:t xml:space="preserve"/>
      </w:r>
    </w:p>
    <w:p>
      <w:pPr>
        <w:spacing w:before="80" w:after="120"/>
      </w:pPr>
      <w:r>
        <w:rPr>
          <w:rFonts w:ascii="Arial" w:hAnsi="Arial" w:cs="Arial"/>
          <w:sz w:val="22"/>
          <w:sz-cs w:val="22"/>
        </w:rPr>
        <w:t xml:space="preserve">These figures are not directly additive — they use different methodologies and populations — but taken together they establish a credible minimum of £400–500 million annually directly attributable to non-adherence, rising to over £930 million when broader condition-specific costs are included. Critically, the figures predate the post-Covid period during which emergency admissions for adverse drug reactions rose 53% between 2008 and 2015, suggesting current costs are likely higher.</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1.3 Where Costs Fall Across the System</w:t>
      </w:r>
    </w:p>
    <w:p>
      <w:pPr>
        <w:spacing w:before="80" w:after="120"/>
      </w:pPr>
      <w:r>
        <w:rPr>
          <w:rFonts w:ascii="Arial" w:hAnsi="Arial" w:cs="Arial"/>
          <w:sz w:val="22"/>
          <w:sz-cs w:val="22"/>
        </w:rPr>
        <w:t xml:space="preserve">Understanding the distribution of costs is essential to identifying who benefits from investment and therefore who should co-fund interventions. The evidence points to a highly skewed distribution:</w:t>
      </w:r>
    </w:p>
    <w:p>
      <w:pPr>
        <w:spacing w:before="60" w:after="60"/>
      </w:pPr>
      <w:r>
        <w:rPr>
          <w:rFonts w:ascii="Times" w:hAnsi="Times" w:cs="Times"/>
          <w:sz w:val="24"/>
          <w:sz-cs w:val="24"/>
        </w:rPr>
        <w:t xml:space="preserve"/>
      </w:r>
    </w:p>
    <w:p>
      <w:pPr/>
      <w:r>
        <w:rPr>
          <w:rFonts w:ascii="Arial" w:hAnsi="Arial" w:cs="Arial"/>
          <w:sz w:val="20"/>
          <w:sz-cs w:val="20"/>
          <w:b/>
          <w:color w:val="FFFFFF"/>
        </w:rPr>
        <w:t xml:space="preserve">NHS Organisation</w:t>
      </w:r>
    </w:p>
    <w:p>
      <w:pPr/>
      <w:r>
        <w:rPr>
          <w:rFonts w:ascii="Arial" w:hAnsi="Arial" w:cs="Arial"/>
          <w:sz w:val="20"/>
          <w:sz-cs w:val="20"/>
          <w:b/>
          <w:color w:val="FFFFFF"/>
        </w:rPr>
        <w:t xml:space="preserve">Cost Driver</w:t>
      </w:r>
    </w:p>
    <w:p>
      <w:pPr/>
      <w:r>
        <w:rPr>
          <w:rFonts w:ascii="Arial" w:hAnsi="Arial" w:cs="Arial"/>
          <w:sz w:val="20"/>
          <w:sz-cs w:val="20"/>
          <w:b/>
          <w:color w:val="FFFFFF"/>
        </w:rPr>
        <w:t xml:space="preserve">Estimated Share of Burden</w:t>
      </w:r>
    </w:p>
    <w:p>
      <w:pPr/>
      <w:r>
        <w:rPr>
          <w:rFonts w:ascii="Arial" w:hAnsi="Arial" w:cs="Arial"/>
          <w:sz w:val="20"/>
          <w:sz-cs w:val="20"/>
        </w:rPr>
        <w:t xml:space="preserve">Acute Hospital Trusts</w:t>
      </w:r>
    </w:p>
    <w:p>
      <w:pPr/>
      <w:r>
        <w:rPr>
          <w:rFonts w:ascii="Arial" w:hAnsi="Arial" w:cs="Arial"/>
          <w:sz w:val="20"/>
          <w:sz-cs w:val="20"/>
        </w:rPr>
        <w:t xml:space="preserve">Unplanned readmissions, A&amp;E presentations, extended LOS</w:t>
      </w:r>
    </w:p>
    <w:p>
      <w:pPr/>
      <w:r>
        <w:rPr>
          <w:rFonts w:ascii="Arial" w:hAnsi="Arial" w:cs="Arial"/>
          <w:sz w:val="20"/>
          <w:sz-cs w:val="20"/>
        </w:rPr>
        <w:t xml:space="preserve">&gt;90% of post-discharge MRH cost (~£360m)</w:t>
      </w:r>
    </w:p>
    <w:p>
      <w:pPr/>
      <w:r>
        <w:rPr>
          <w:rFonts w:ascii="Arial" w:hAnsi="Arial" w:cs="Arial"/>
          <w:sz w:val="20"/>
          <w:sz-cs w:val="20"/>
        </w:rPr>
        <w:t xml:space="preserve">NHS England / Commissioners</w:t>
      </w:r>
    </w:p>
    <w:p>
      <w:pPr/>
      <w:r>
        <w:rPr>
          <w:rFonts w:ascii="Arial" w:hAnsi="Arial" w:cs="Arial"/>
          <w:sz w:val="20"/>
          <w:sz-cs w:val="20"/>
        </w:rPr>
        <w:t xml:space="preserve">Wasted prescription spend; repeat prescribing for dose escalation in assumed non-responders</w:t>
      </w:r>
    </w:p>
    <w:p>
      <w:pPr/>
      <w:r>
        <w:rPr>
          <w:rFonts w:ascii="Arial" w:hAnsi="Arial" w:cs="Arial"/>
          <w:sz w:val="20"/>
          <w:sz-cs w:val="20"/>
        </w:rPr>
        <w:t xml:space="preserve">~£300m wasted medicines</w:t>
      </w:r>
    </w:p>
    <w:p>
      <w:pPr/>
      <w:r>
        <w:rPr>
          <w:rFonts w:ascii="Arial" w:hAnsi="Arial" w:cs="Arial"/>
          <w:sz w:val="20"/>
          <w:sz-cs w:val="20"/>
        </w:rPr>
        <w:t xml:space="preserve">Primary Care (GP Practices)</w:t>
      </w:r>
    </w:p>
    <w:p>
      <w:pPr/>
      <w:r>
        <w:rPr>
          <w:rFonts w:ascii="Arial" w:hAnsi="Arial" w:cs="Arial"/>
          <w:sz w:val="20"/>
          <w:sz-cs w:val="20"/>
        </w:rPr>
        <w:t xml:space="preserve">Additional appointments when undetected non-adherence mimics treatment failure</w:t>
      </w:r>
    </w:p>
    <w:p>
      <w:pPr/>
      <w:r>
        <w:rPr>
          <w:rFonts w:ascii="Arial" w:hAnsi="Arial" w:cs="Arial"/>
          <w:sz w:val="20"/>
          <w:sz-cs w:val="20"/>
        </w:rPr>
        <w:t xml:space="preserve">Estimated 3 extra visits/year per non-adherent patient</w:t>
      </w:r>
    </w:p>
    <w:p>
      <w:pPr/>
      <w:r>
        <w:rPr>
          <w:rFonts w:ascii="Arial" w:hAnsi="Arial" w:cs="Arial"/>
          <w:sz w:val="20"/>
          <w:sz-cs w:val="20"/>
        </w:rPr>
        <w:t xml:space="preserve">Community Pharmacy</w:t>
      </w:r>
    </w:p>
    <w:p>
      <w:pPr/>
      <w:r>
        <w:rPr>
          <w:rFonts w:ascii="Arial" w:hAnsi="Arial" w:cs="Arial"/>
          <w:sz w:val="20"/>
          <w:sz-cs w:val="20"/>
        </w:rPr>
        <w:t xml:space="preserve">Dispensing for wasted medicines; management of complex dossette box regimens</w:t>
      </w:r>
    </w:p>
    <w:p>
      <w:pPr/>
      <w:r>
        <w:rPr>
          <w:rFonts w:ascii="Arial" w:hAnsi="Arial" w:cs="Arial"/>
          <w:sz w:val="20"/>
          <w:sz-cs w:val="20"/>
        </w:rPr>
        <w:t xml:space="preserve">Embedded in wasted medicines cost</w:t>
      </w:r>
    </w:p>
    <w:p>
      <w:pPr/>
      <w:r>
        <w:rPr>
          <w:rFonts w:ascii="Arial" w:hAnsi="Arial" w:cs="Arial"/>
          <w:sz w:val="20"/>
          <w:sz-cs w:val="20"/>
        </w:rPr>
        <w:t xml:space="preserve">Local Authorities / Social Care</w:t>
      </w:r>
    </w:p>
    <w:p>
      <w:pPr/>
      <w:r>
        <w:rPr>
          <w:rFonts w:ascii="Arial" w:hAnsi="Arial" w:cs="Arial"/>
          <w:sz w:val="20"/>
          <w:sz-cs w:val="20"/>
        </w:rPr>
        <w:t xml:space="preserve">Downstream dependency from preventable health deterioration</w:t>
      </w:r>
    </w:p>
    <w:p>
      <w:pPr/>
      <w:r>
        <w:rPr>
          <w:rFonts w:ascii="Arial" w:hAnsi="Arial" w:cs="Arial"/>
          <w:sz w:val="20"/>
          <w:sz-cs w:val="20"/>
        </w:rPr>
        <w:t xml:space="preserve">Unquantified but material</w:t>
      </w:r>
    </w:p>
    <w:p>
      <w:pPr>
        <w:spacing w:before="60" w:after="60"/>
      </w:pPr>
      <w:r>
        <w:rPr>
          <w:rFonts w:ascii="Times" w:hAnsi="Times" w:cs="Times"/>
          <w:sz w:val="24"/>
          <w:sz-cs w:val="24"/>
        </w:rPr>
        <w:t xml:space="preserve"/>
      </w:r>
    </w:p>
    <w:p>
      <w:pPr>
        <w:spacing w:after="60"/>
      </w:pPr>
      <w:r>
        <w:rPr>
          <w:rFonts w:ascii="Arial" w:hAnsi="Arial" w:cs="Arial"/>
          <w:sz w:val="22"/>
          <w:sz-cs w:val="22"/>
          <w:b/>
          <w:color w:val="2E6DA4"/>
        </w:rPr>
        <w:t xml:space="preserve">Key Insight: Where the Money Is</w:t>
      </w:r>
    </w:p>
    <w:p>
      <w:pPr/>
      <w:r>
        <w:rPr>
          <w:rFonts w:ascii="Arial" w:hAnsi="Arial" w:cs="Arial"/>
          <w:sz w:val="22"/>
          <w:sz-cs w:val="22"/>
        </w:rPr>
        <w:t xml:space="preserve">Over 90% of the directly measurable cost of non-adherence in older people falls on NHS acute providers (hospital trusts) in the form of unplanned readmissions. This has two implications for investment design: (a) the financial case is strongest for commissioners and trusts working together; (b) interventions targeted at preventing post-discharge non-adherence — the highest-risk window — offer the fastest route to measurable ROI.</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1.4 The Post-Discharge Risk Window</w:t>
      </w:r>
    </w:p>
    <w:p>
      <w:pPr>
        <w:spacing w:before="80" w:after="120"/>
      </w:pPr>
      <w:r>
        <w:rPr>
          <w:rFonts w:ascii="Arial" w:hAnsi="Arial" w:cs="Arial"/>
          <w:sz w:val="22"/>
          <w:sz-cs w:val="22"/>
        </w:rPr>
        <w:t xml:space="preserve">A multicentre UK study tracking older adults across five NHS teaching hospitals found that medication-related harm (MRH) affects one in three older people following discharge, with 80% of cases classified as serious. Non-adherence was implicated in 23% of all MRH cases. Critically, 25% of adverse drug reactions manifest in the first week post-discharge — indicating that the period immediately after hospital discharge is the highest-risk interval and the highest-value target for intervention.</w:t>
      </w:r>
    </w:p>
    <w:p>
      <w:pPr>
        <w:spacing w:before="60" w:after="60"/>
      </w:pPr>
      <w:r>
        <w:rPr>
          <w:rFonts w:ascii="Times" w:hAnsi="Times" w:cs="Times"/>
          <w:sz w:val="24"/>
          <w:sz-cs w:val="24"/>
        </w:rPr>
        <w:t xml:space="preserve"/>
      </w:r>
    </w:p>
    <w:p>
      <w:pPr>
        <w:spacing w:before="80" w:after="120"/>
      </w:pPr>
      <w:r>
        <w:rPr>
          <w:rFonts w:ascii="Arial" w:hAnsi="Arial" w:cs="Arial"/>
          <w:sz w:val="22"/>
          <w:sz-cs w:val="22"/>
        </w:rPr>
        <w:t xml:space="preserve">Four out of five older adults who experience MRH consult an NHS service within eight weeks, generating costs across both acute and primary care settings. The annual cost of this post-discharge harm is estimated at £396 million, with over 90% attributable to hospital readmissions.</w:t>
      </w:r>
    </w:p>
    <w:p>
      <w:pPr>
        <w:spacing w:before="60" w:after="60"/>
      </w:pPr>
      <w:r>
        <w:rPr>
          <w:rFonts w:ascii="Times" w:hAnsi="Times" w:cs="Times"/>
          <w:sz w:val="24"/>
          <w:sz-cs w:val="24"/>
        </w:rPr>
        <w:t xml:space="preserve"/>
      </w:r>
    </w:p>
    <w:p>
      <w:pPr>
        <w:spacing w:before="400" w:after="160"/>
      </w:pPr>
      <w:r>
        <w:rPr>
          <w:rFonts w:ascii="Arial" w:hAnsi="Arial" w:cs="Arial"/>
          <w:sz w:val="36"/>
          <w:sz-cs w:val="36"/>
          <w:b/>
          <w:color w:val="1A3A5C"/>
        </w:rPr>
        <w:t xml:space="preserve">Section 2: Routes to Greatest Savings</w:t>
      </w:r>
    </w:p>
    <w:p>
      <w:pPr>
        <w:spacing w:before="280" w:after="120"/>
      </w:pPr>
      <w:r>
        <w:rPr>
          <w:rFonts w:ascii="Arial" w:hAnsi="Arial" w:cs="Arial"/>
          <w:sz w:val="28"/>
          <w:sz-cs w:val="28"/>
          <w:b/>
          <w:color w:val="2E6DA4"/>
        </w:rPr>
        <w:t xml:space="preserve">2.1 Intervention Landscape</w:t>
      </w:r>
    </w:p>
    <w:p>
      <w:pPr>
        <w:spacing w:before="80" w:after="120"/>
      </w:pPr>
      <w:r>
        <w:rPr>
          <w:rFonts w:ascii="Arial" w:hAnsi="Arial" w:cs="Arial"/>
          <w:sz w:val="22"/>
          <w:sz-cs w:val="22"/>
        </w:rPr>
        <w:t xml:space="preserve">Digital adherence interventions for older people fall into four broad categories: (1) reminder and tracking tools (SMS, apps, voice assistants); (2) automated medication dispensing systems (smart pill dispensers); (3) clinical decision support and monitoring platforms integrated with EPR/shared care records; and (4) pharmacist-led digital services such as the NHS New Medicine Service (NMS). Each varies significantly in unit cost, scalability, evidence quality, and which NHS organisation absorbs the cost and captures the saving.</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2.2 Savings Potential by Intervention Type</w:t>
      </w:r>
    </w:p>
    <w:p>
      <w:pPr/>
      <w:r>
        <w:rPr>
          <w:rFonts w:ascii="Arial" w:hAnsi="Arial" w:cs="Arial"/>
          <w:sz w:val="20"/>
          <w:sz-cs w:val="20"/>
          <w:b/>
          <w:color w:val="FFFFFF"/>
        </w:rPr>
        <w:t xml:space="preserve">Intervention Type</w:t>
      </w:r>
    </w:p>
    <w:p>
      <w:pPr/>
      <w:r>
        <w:rPr>
          <w:rFonts w:ascii="Arial" w:hAnsi="Arial" w:cs="Arial"/>
          <w:sz w:val="20"/>
          <w:sz-cs w:val="20"/>
          <w:b/>
          <w:color w:val="FFFFFF"/>
        </w:rPr>
        <w:t xml:space="preserve">Evidence of Adherence Improvement</w:t>
      </w:r>
    </w:p>
    <w:p>
      <w:pPr/>
      <w:r>
        <w:rPr>
          <w:rFonts w:ascii="Arial" w:hAnsi="Arial" w:cs="Arial"/>
          <w:sz w:val="20"/>
          <w:sz-cs w:val="20"/>
          <w:b/>
          <w:color w:val="FFFFFF"/>
        </w:rPr>
        <w:t xml:space="preserve">Primary Saving</w:t>
      </w:r>
    </w:p>
    <w:p>
      <w:pPr/>
      <w:r>
        <w:rPr>
          <w:rFonts w:ascii="Arial" w:hAnsi="Arial" w:cs="Arial"/>
          <w:sz w:val="20"/>
          <w:sz-cs w:val="20"/>
          <w:b/>
          <w:color w:val="FFFFFF"/>
        </w:rPr>
        <w:t xml:space="preserve">Evidence Quality</w:t>
      </w:r>
    </w:p>
    <w:p>
      <w:pPr/>
      <w:r>
        <w:rPr>
          <w:rFonts w:ascii="Arial" w:hAnsi="Arial" w:cs="Arial"/>
          <w:sz w:val="20"/>
          <w:sz-cs w:val="20"/>
          <w:b/>
          <w:color w:val="FFFFFF"/>
        </w:rPr>
        <w:t xml:space="preserve">Scalability</w:t>
      </w:r>
    </w:p>
    <w:p>
      <w:pPr/>
      <w:r>
        <w:rPr>
          <w:rFonts w:ascii="Arial" w:hAnsi="Arial" w:cs="Arial"/>
          <w:sz w:val="20"/>
          <w:sz-cs w:val="20"/>
        </w:rPr>
        <w:t xml:space="preserve">Post-discharge pharmacist-led digital review (NMS-style)</w:t>
      </w:r>
    </w:p>
    <w:p>
      <w:pPr/>
      <w:r>
        <w:rPr>
          <w:rFonts w:ascii="Arial" w:hAnsi="Arial" w:cs="Arial"/>
          <w:sz w:val="20"/>
          <w:sz-cs w:val="20"/>
        </w:rPr>
        <w:t xml:space="preserve">10% improvement in adherence at 10 weeks (Univ. Manchester RCT)</w:t>
      </w:r>
    </w:p>
    <w:p>
      <w:pPr/>
      <w:r>
        <w:rPr>
          <w:rFonts w:ascii="Arial" w:hAnsi="Arial" w:cs="Arial"/>
          <w:sz w:val="20"/>
          <w:sz-cs w:val="20"/>
        </w:rPr>
        <w:t xml:space="preserve">Acute readmissions</w:t>
      </w:r>
    </w:p>
    <w:p>
      <w:pPr/>
      <w:r>
        <w:rPr>
          <w:rFonts w:ascii="Arial" w:hAnsi="Arial" w:cs="Arial"/>
          <w:sz w:val="20"/>
          <w:sz-cs w:val="20"/>
        </w:rPr>
        <w:t xml:space="preserve">High — published RCT</w:t>
      </w:r>
    </w:p>
    <w:p>
      <w:pPr/>
      <w:r>
        <w:rPr>
          <w:rFonts w:ascii="Arial" w:hAnsi="Arial" w:cs="Arial"/>
          <w:sz w:val="20"/>
          <w:sz-cs w:val="20"/>
        </w:rPr>
        <w:t xml:space="preserve">Medium (requires pharmacist time)</w:t>
      </w:r>
    </w:p>
    <w:p>
      <w:pPr/>
      <w:r>
        <w:rPr>
          <w:rFonts w:ascii="Arial" w:hAnsi="Arial" w:cs="Arial"/>
          <w:sz w:val="20"/>
          <w:sz-cs w:val="20"/>
        </w:rPr>
        <w:t xml:space="preserve">Automated smart dispensers (monitored, connected)</w:t>
      </w:r>
    </w:p>
    <w:p>
      <w:pPr/>
      <w:r>
        <w:rPr>
          <w:rFonts w:ascii="Arial" w:hAnsi="Arial" w:cs="Arial"/>
          <w:sz w:val="20"/>
          <w:sz-cs w:val="20"/>
        </w:rPr>
        <w:t xml:space="preserve">Adherence rates 93–97% in dispenser studies vs ~70% baseline</w:t>
      </w:r>
    </w:p>
    <w:p>
      <w:pPr/>
      <w:r>
        <w:rPr>
          <w:rFonts w:ascii="Arial" w:hAnsi="Arial" w:cs="Arial"/>
          <w:sz w:val="20"/>
          <w:sz-cs w:val="20"/>
        </w:rPr>
        <w:t xml:space="preserve">Acute readmissions; primary care contacts</w:t>
      </w:r>
    </w:p>
    <w:p>
      <w:pPr/>
      <w:r>
        <w:rPr>
          <w:rFonts w:ascii="Arial" w:hAnsi="Arial" w:cs="Arial"/>
          <w:sz w:val="20"/>
          <w:sz-cs w:val="20"/>
        </w:rPr>
        <w:t xml:space="preserve">Moderate — observational</w:t>
      </w:r>
    </w:p>
    <w:p>
      <w:pPr/>
      <w:r>
        <w:rPr>
          <w:rFonts w:ascii="Arial" w:hAnsi="Arial" w:cs="Arial"/>
          <w:sz w:val="20"/>
          <w:sz-cs w:val="20"/>
        </w:rPr>
        <w:t xml:space="preserve">Medium (hardware cost; needs set-up support)</w:t>
      </w:r>
    </w:p>
    <w:p>
      <w:pPr/>
      <w:r>
        <w:rPr>
          <w:rFonts w:ascii="Arial" w:hAnsi="Arial" w:cs="Arial"/>
          <w:sz w:val="20"/>
          <w:sz-cs w:val="20"/>
        </w:rPr>
        <w:t xml:space="preserve">SMS/app reminders (standalone)</w:t>
      </w:r>
    </w:p>
    <w:p>
      <w:pPr/>
      <w:r>
        <w:rPr>
          <w:rFonts w:ascii="Arial" w:hAnsi="Arial" w:cs="Arial"/>
          <w:sz w:val="20"/>
          <w:sz-cs w:val="20"/>
        </w:rPr>
        <w:t xml:space="preserve">Mixed: beneficial in ~55% of RCTs; short-term effects only</w:t>
      </w:r>
    </w:p>
    <w:p>
      <w:pPr/>
      <w:r>
        <w:rPr>
          <w:rFonts w:ascii="Arial" w:hAnsi="Arial" w:cs="Arial"/>
          <w:sz w:val="20"/>
          <w:sz-cs w:val="20"/>
        </w:rPr>
        <w:t xml:space="preserve">Primary care; medicines waste</w:t>
      </w:r>
    </w:p>
    <w:p>
      <w:pPr/>
      <w:r>
        <w:rPr>
          <w:rFonts w:ascii="Arial" w:hAnsi="Arial" w:cs="Arial"/>
          <w:sz w:val="20"/>
          <w:sz-cs w:val="20"/>
        </w:rPr>
        <w:t xml:space="preserve">Moderate — Cochrane review mixed</w:t>
      </w:r>
    </w:p>
    <w:p>
      <w:pPr/>
      <w:r>
        <w:rPr>
          <w:rFonts w:ascii="Arial" w:hAnsi="Arial" w:cs="Arial"/>
          <w:sz w:val="20"/>
          <w:sz-cs w:val="20"/>
        </w:rPr>
        <w:t xml:space="preserve">High (low cost, scalable)</w:t>
      </w:r>
    </w:p>
    <w:p>
      <w:pPr/>
      <w:r>
        <w:rPr>
          <w:rFonts w:ascii="Arial" w:hAnsi="Arial" w:cs="Arial"/>
          <w:sz w:val="20"/>
          <w:sz-cs w:val="20"/>
        </w:rPr>
        <w:t xml:space="preserve">Integrated EPR-linked adherence monitoring</w:t>
      </w:r>
    </w:p>
    <w:p>
      <w:pPr/>
      <w:r>
        <w:rPr>
          <w:rFonts w:ascii="Arial" w:hAnsi="Arial" w:cs="Arial"/>
          <w:sz w:val="20"/>
          <w:sz-cs w:val="20"/>
        </w:rPr>
        <w:t xml:space="preserve">Enables targeted intervention; no standalone adherence RCT</w:t>
      </w:r>
    </w:p>
    <w:p>
      <w:pPr/>
      <w:r>
        <w:rPr>
          <w:rFonts w:ascii="Arial" w:hAnsi="Arial" w:cs="Arial"/>
          <w:sz w:val="20"/>
          <w:sz-cs w:val="20"/>
        </w:rPr>
        <w:t xml:space="preserve">All settings via earlier identification</w:t>
      </w:r>
    </w:p>
    <w:p>
      <w:pPr/>
      <w:r>
        <w:rPr>
          <w:rFonts w:ascii="Arial" w:hAnsi="Arial" w:cs="Arial"/>
          <w:sz w:val="20"/>
          <w:sz-cs w:val="20"/>
        </w:rPr>
        <w:t xml:space="preserve">Emerging — enabling technology</w:t>
      </w:r>
    </w:p>
    <w:p>
      <w:pPr/>
      <w:r>
        <w:rPr>
          <w:rFonts w:ascii="Arial" w:hAnsi="Arial" w:cs="Arial"/>
          <w:sz w:val="20"/>
          <w:sz-cs w:val="20"/>
        </w:rPr>
        <w:t xml:space="preserve">High (requires EPR integration)</w:t>
      </w:r>
    </w:p>
    <w:p>
      <w:pPr/>
      <w:r>
        <w:rPr>
          <w:rFonts w:ascii="Arial" w:hAnsi="Arial" w:cs="Arial"/>
          <w:sz w:val="20"/>
          <w:sz-cs w:val="20"/>
        </w:rPr>
        <w:t xml:space="preserve">Medication review via telehealth/video</w:t>
      </w:r>
    </w:p>
    <w:p>
      <w:pPr/>
      <w:r>
        <w:rPr>
          <w:rFonts w:ascii="Arial" w:hAnsi="Arial" w:cs="Arial"/>
          <w:sz w:val="20"/>
          <w:sz-cs w:val="20"/>
        </w:rPr>
        <w:t xml:space="preserve">Supports identification; evidence from COPD and cardiac populations</w:t>
      </w:r>
    </w:p>
    <w:p>
      <w:pPr/>
      <w:r>
        <w:rPr>
          <w:rFonts w:ascii="Arial" w:hAnsi="Arial" w:cs="Arial"/>
          <w:sz w:val="20"/>
          <w:sz-cs w:val="20"/>
        </w:rPr>
        <w:t xml:space="preserve">Primary care; community pharmacy</w:t>
      </w:r>
    </w:p>
    <w:p>
      <w:pPr/>
      <w:r>
        <w:rPr>
          <w:rFonts w:ascii="Arial" w:hAnsi="Arial" w:cs="Arial"/>
          <w:sz w:val="20"/>
          <w:sz-cs w:val="20"/>
        </w:rPr>
        <w:t xml:space="preserve">Moderate</w:t>
      </w:r>
    </w:p>
    <w:p>
      <w:pPr/>
      <w:r>
        <w:rPr>
          <w:rFonts w:ascii="Arial" w:hAnsi="Arial" w:cs="Arial"/>
          <w:sz w:val="20"/>
          <w:sz-cs w:val="20"/>
        </w:rPr>
        <w:t xml:space="preserve">High</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2.3 Prioritisation Analysis</w:t>
      </w:r>
    </w:p>
    <w:p>
      <w:pPr>
        <w:spacing w:before="80" w:after="120"/>
      </w:pPr>
      <w:r>
        <w:rPr>
          <w:rFonts w:ascii="Arial" w:hAnsi="Arial" w:cs="Arial"/>
          <w:sz w:val="22"/>
          <w:sz-cs w:val="22"/>
        </w:rPr>
        <w:t xml:space="preserve">Applying a framework weighted for: (a) size of saving available, (b) strength of evidence, (c) feasibility within NHS commissioning structures, and (d) equity of access for older people with digital limitations, three options emerge as the highest-priority investment cases:</w:t>
      </w:r>
    </w:p>
    <w:p>
      <w:pPr>
        <w:spacing w:before="60" w:after="60"/>
      </w:pPr>
      <w:r>
        <w:rPr>
          <w:rFonts w:ascii="Times" w:hAnsi="Times" w:cs="Times"/>
          <w:sz w:val="24"/>
          <w:sz-cs w:val="24"/>
        </w:rPr>
        <w:t xml:space="preserve"/>
      </w:r>
    </w:p>
    <w:p>
      <w:pPr>
        <w:ind w:left="720"/>
        <w:spacing w:before="40" w:after="40"/>
      </w:pPr>
      <w:r>
        <w:rPr>
          <w:rFonts w:ascii="Arial" w:hAnsi="Arial" w:cs="Arial"/>
          <w:sz w:val="22"/>
          <w:sz-cs w:val="22"/>
          <w:b/>
        </w:rPr>
        <w:t xml:space="preserve"/>
        <w:tab/>
        <w:t xml:space="preserve">•</w:t>
        <w:tab/>
        <w:t xml:space="preserve">Option 1: Post-Discharge Digital Pharmacist Review Service — highest evidence quality, directly targets the highest-cost risk window, builds on established NMS infrastructure</w:t>
      </w:r>
    </w:p>
    <w:p>
      <w:pPr>
        <w:ind w:left="720"/>
        <w:spacing w:before="40" w:after="40"/>
      </w:pPr>
      <w:r>
        <w:rPr>
          <w:rFonts w:ascii="Arial" w:hAnsi="Arial" w:cs="Arial"/>
          <w:sz w:val="22"/>
          <w:sz-cs w:val="22"/>
          <w:b/>
        </w:rPr>
        <w:t xml:space="preserve"/>
        <w:tab/>
        <w:t xml:space="preserve">•</w:t>
        <w:tab/>
        <w:t xml:space="preserve">Option 2: Connected Automated Medication Dispensers for High-Risk Older Adults — highest impact per patient in the target population (polypharmacy, cognitive impairment), addresses physical and cognitive barriers that digital-only solutions cannot</w:t>
      </w:r>
    </w:p>
    <w:p>
      <w:pPr>
        <w:ind w:left="720"/>
        <w:spacing w:before="40" w:after="40"/>
      </w:pPr>
      <w:r>
        <w:rPr>
          <w:rFonts w:ascii="Arial" w:hAnsi="Arial" w:cs="Arial"/>
          <w:sz w:val="22"/>
          <w:sz-cs w:val="22"/>
          <w:b/>
        </w:rPr>
        <w:t xml:space="preserve"/>
        <w:tab/>
        <w:t xml:space="preserve">•</w:t>
        <w:tab/>
        <w:t xml:space="preserve">Option 3: Integrated Adherence Monitoring within Shared Care Records / EPR — enabling infrastructure that multiplies the value of all other interventions by allowing proactive identification of non-adherent patients before crisis</w:t>
      </w:r>
    </w:p>
    <w:p>
      <w:pPr>
        <w:spacing w:before="60" w:after="60"/>
      </w:pPr>
      <w:r>
        <w:rPr>
          <w:rFonts w:ascii="Times" w:hAnsi="Times" w:cs="Times"/>
          <w:sz w:val="24"/>
          <w:sz-cs w:val="24"/>
        </w:rPr>
        <w:t xml:space="preserve"/>
      </w:r>
    </w:p>
    <w:p>
      <w:pPr>
        <w:spacing w:before="400" w:after="160"/>
      </w:pPr>
      <w:r>
        <w:rPr>
          <w:rFonts w:ascii="Arial" w:hAnsi="Arial" w:cs="Arial"/>
          <w:sz w:val="36"/>
          <w:sz-cs w:val="36"/>
          <w:b/>
          <w:color w:val="1A3A5C"/>
        </w:rPr>
        <w:t xml:space="preserve">Section 3: Investment Cases</w:t>
      </w:r>
    </w:p>
    <w:p>
      <w:pPr>
        <w:spacing w:before="280" w:after="120"/>
      </w:pPr>
      <w:r>
        <w:rPr>
          <w:rFonts w:ascii="Arial" w:hAnsi="Arial" w:cs="Arial"/>
          <w:sz w:val="28"/>
          <w:sz-cs w:val="28"/>
          <w:b/>
          <w:color w:val="2E6DA4"/>
        </w:rPr>
        <w:t xml:space="preserve">Option 1: Post-Discharge Digital Pharmacist Review Service</w:t>
      </w:r>
    </w:p>
    <w:p>
      <w:pPr>
        <w:spacing w:before="200" w:after="80"/>
      </w:pPr>
      <w:r>
        <w:rPr>
          <w:rFonts w:ascii="Arial" w:hAnsi="Arial" w:cs="Arial"/>
          <w:sz w:val="24"/>
          <w:sz-cs w:val="24"/>
          <w:b/>
          <w:color w:val="1A3A5C"/>
        </w:rPr>
        <w:t xml:space="preserve">The Problem Being Solved</w:t>
      </w:r>
    </w:p>
    <w:p>
      <w:pPr>
        <w:spacing w:before="80" w:after="120"/>
      </w:pPr>
      <w:r>
        <w:rPr>
          <w:rFonts w:ascii="Arial" w:hAnsi="Arial" w:cs="Arial"/>
          <w:sz w:val="22"/>
          <w:sz-cs w:val="22"/>
        </w:rPr>
        <w:t xml:space="preserve">The highest-risk period for medication non-adherence in older people is the first four weeks following hospital discharge. Older patients are discharged with new or changed medicines, often with inadequate counselling, into home environments without clinical oversight. Non-adherence during this window drives the majority of the £396 million post-discharge MRH cost.</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The Intervention</w:t>
      </w:r>
    </w:p>
    <w:p>
      <w:pPr>
        <w:spacing w:before="80" w:after="120"/>
      </w:pPr>
      <w:r>
        <w:rPr>
          <w:rFonts w:ascii="Arial" w:hAnsi="Arial" w:cs="Arial"/>
          <w:sz w:val="22"/>
          <w:sz-cs w:val="22"/>
        </w:rPr>
        <w:t xml:space="preserve">A structured digital-first pharmacist review service, triggered by hospital discharge for patients aged 65+ on three or more medicines, comprising: an automated post-discharge text/app prompt at day 3 and day 7; a pharmacist-led video or telephone consultation at week 2; and an asynchronous digital check-in at week 6 with escalation pathway to GP or specialist. Builds on the New Medicine Service model, which demonstrated a 10% improvement in adherence and modelled long-term NHS savings of £517.6 million over five years in a published Manchester/Nottingham RCT.</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Financial Model</w:t>
      </w:r>
    </w:p>
    <w:p>
      <w:pPr/>
      <w:r>
        <w:rPr>
          <w:rFonts w:ascii="Arial" w:hAnsi="Arial" w:cs="Arial"/>
          <w:sz w:val="20"/>
          <w:sz-cs w:val="20"/>
          <w:b/>
          <w:color w:val="FFFFFF"/>
        </w:rPr>
        <w:t xml:space="preserve">Parameter</w:t>
      </w:r>
    </w:p>
    <w:p>
      <w:pPr/>
      <w:r>
        <w:rPr>
          <w:rFonts w:ascii="Arial" w:hAnsi="Arial" w:cs="Arial"/>
          <w:sz w:val="20"/>
          <w:sz-cs w:val="20"/>
          <w:b/>
          <w:color w:val="FFFFFF"/>
        </w:rPr>
        <w:t xml:space="preserve">Value</w:t>
      </w:r>
    </w:p>
    <w:p>
      <w:pPr/>
      <w:r>
        <w:rPr>
          <w:rFonts w:ascii="Arial" w:hAnsi="Arial" w:cs="Arial"/>
          <w:sz w:val="20"/>
          <w:sz-cs w:val="20"/>
          <w:b/>
          <w:color w:val="FFFFFF"/>
        </w:rPr>
        <w:t xml:space="preserve">Source / Assumption</w:t>
      </w:r>
    </w:p>
    <w:p>
      <w:pPr/>
      <w:r>
        <w:rPr>
          <w:rFonts w:ascii="Arial" w:hAnsi="Arial" w:cs="Arial"/>
          <w:sz w:val="20"/>
          <w:sz-cs w:val="20"/>
        </w:rPr>
        <w:t xml:space="preserve">Target population (England): older adults discharged annually on 3+ medicines</w:t>
      </w:r>
    </w:p>
    <w:p>
      <w:pPr/>
      <w:r>
        <w:rPr>
          <w:rFonts w:ascii="Arial" w:hAnsi="Arial" w:cs="Arial"/>
          <w:sz w:val="20"/>
          <w:sz-cs w:val="20"/>
        </w:rPr>
        <w:t xml:space="preserve">~1.2 million</w:t>
      </w:r>
    </w:p>
    <w:p>
      <w:pPr/>
      <w:r>
        <w:rPr>
          <w:rFonts w:ascii="Arial" w:hAnsi="Arial" w:cs="Arial"/>
          <w:sz w:val="20"/>
          <w:sz-cs w:val="20"/>
        </w:rPr>
        <w:t xml:space="preserve">NHS Hospital Episode Statistics; age/polypharmacy prevalence</w:t>
      </w:r>
    </w:p>
    <w:p>
      <w:pPr/>
      <w:r>
        <w:rPr>
          <w:rFonts w:ascii="Arial" w:hAnsi="Arial" w:cs="Arial"/>
          <w:sz w:val="20"/>
          <w:sz-cs w:val="20"/>
        </w:rPr>
        <w:t xml:space="preserve">Baseline non-adherence rate (post-discharge)</w:t>
      </w:r>
    </w:p>
    <w:p>
      <w:pPr/>
      <w:r>
        <w:rPr>
          <w:rFonts w:ascii="Arial" w:hAnsi="Arial" w:cs="Arial"/>
          <w:sz w:val="20"/>
          <w:sz-cs w:val="20"/>
        </w:rPr>
        <w:t xml:space="preserve">29%</w:t>
      </w:r>
    </w:p>
    <w:p>
      <w:pPr/>
      <w:r>
        <w:rPr>
          <w:rFonts w:ascii="Arial" w:hAnsi="Arial" w:cs="Arial"/>
          <w:sz w:val="20"/>
          <w:sz-cs w:val="20"/>
        </w:rPr>
        <w:t xml:space="preserve">PMC multicentre study 2018</w:t>
      </w:r>
    </w:p>
    <w:p>
      <w:pPr/>
      <w:r>
        <w:rPr>
          <w:rFonts w:ascii="Arial" w:hAnsi="Arial" w:cs="Arial"/>
          <w:sz w:val="20"/>
          <w:sz-cs w:val="20"/>
        </w:rPr>
        <w:t xml:space="preserve">Patients with adherence-related harm</w:t>
      </w:r>
    </w:p>
    <w:p>
      <w:pPr/>
      <w:r>
        <w:rPr>
          <w:rFonts w:ascii="Arial" w:hAnsi="Arial" w:cs="Arial"/>
          <w:sz w:val="20"/>
          <w:sz-cs w:val="20"/>
        </w:rPr>
        <w:t xml:space="preserve">~350,000</w:t>
      </w:r>
    </w:p>
    <w:p>
      <w:pPr/>
      <w:r>
        <w:rPr>
          <w:rFonts w:ascii="Arial" w:hAnsi="Arial" w:cs="Arial"/>
          <w:sz w:val="20"/>
          <w:sz-cs w:val="20"/>
        </w:rPr>
        <w:t xml:space="preserve">1-in-3 rate from same study</w:t>
      </w:r>
    </w:p>
    <w:p>
      <w:pPr/>
      <w:r>
        <w:rPr>
          <w:rFonts w:ascii="Arial" w:hAnsi="Arial" w:cs="Arial"/>
          <w:sz w:val="20"/>
          <w:sz-cs w:val="20"/>
        </w:rPr>
        <w:t xml:space="preserve">Cost per MRH event (mostly readmission)</w:t>
      </w:r>
    </w:p>
    <w:p>
      <w:pPr/>
      <w:r>
        <w:rPr>
          <w:rFonts w:ascii="Arial" w:hAnsi="Arial" w:cs="Arial"/>
          <w:sz w:val="20"/>
          <w:sz-cs w:val="20"/>
        </w:rPr>
        <w:t xml:space="preserve">~£1,130 average</w:t>
      </w:r>
    </w:p>
    <w:p>
      <w:pPr/>
      <w:r>
        <w:rPr>
          <w:rFonts w:ascii="Arial" w:hAnsi="Arial" w:cs="Arial"/>
          <w:sz w:val="20"/>
          <w:sz-cs w:val="20"/>
        </w:rPr>
        <w:t xml:space="preserve">Based on £396m / 350k events</w:t>
      </w:r>
    </w:p>
    <w:p>
      <w:pPr/>
      <w:r>
        <w:rPr>
          <w:rFonts w:ascii="Arial" w:hAnsi="Arial" w:cs="Arial"/>
          <w:sz w:val="20"/>
          <w:sz-cs w:val="20"/>
        </w:rPr>
        <w:t xml:space="preserve">Estimated adherence improvement from intervention</w:t>
      </w:r>
    </w:p>
    <w:p>
      <w:pPr/>
      <w:r>
        <w:rPr>
          <w:rFonts w:ascii="Arial" w:hAnsi="Arial" w:cs="Arial"/>
          <w:sz w:val="20"/>
          <w:sz-cs w:val="20"/>
        </w:rPr>
        <w:t xml:space="preserve">10%</w:t>
      </w:r>
    </w:p>
    <w:p>
      <w:pPr/>
      <w:r>
        <w:rPr>
          <w:rFonts w:ascii="Arial" w:hAnsi="Arial" w:cs="Arial"/>
          <w:sz w:val="20"/>
          <w:sz-cs w:val="20"/>
        </w:rPr>
        <w:t xml:space="preserve">NMS RCT, Univ. Manchester</w:t>
      </w:r>
    </w:p>
    <w:p>
      <w:pPr/>
      <w:r>
        <w:rPr>
          <w:rFonts w:ascii="Arial" w:hAnsi="Arial" w:cs="Arial"/>
          <w:sz w:val="20"/>
          <w:sz-cs w:val="20"/>
        </w:rPr>
        <w:t xml:space="preserve">Modelled saving (10% reduction in MRH)</w:t>
      </w:r>
    </w:p>
    <w:p>
      <w:pPr/>
      <w:r>
        <w:rPr>
          <w:rFonts w:ascii="Arial" w:hAnsi="Arial" w:cs="Arial"/>
          <w:sz w:val="20"/>
          <w:sz-cs w:val="20"/>
        </w:rPr>
        <w:t xml:space="preserve">~£39.6 million/year</w:t>
      </w:r>
    </w:p>
    <w:p>
      <w:pPr/>
      <w:r>
        <w:rPr>
          <w:rFonts w:ascii="Arial" w:hAnsi="Arial" w:cs="Arial"/>
          <w:sz w:val="20"/>
          <w:sz-cs w:val="20"/>
        </w:rPr>
        <w:t xml:space="preserve">Conservative; 90% cost in readmissions</w:t>
      </w:r>
    </w:p>
    <w:p>
      <w:pPr/>
      <w:r>
        <w:rPr>
          <w:rFonts w:ascii="Arial" w:hAnsi="Arial" w:cs="Arial"/>
          <w:sz w:val="20"/>
          <w:sz-cs w:val="20"/>
        </w:rPr>
        <w:t xml:space="preserve">Estimated intervention cost per patient</w:t>
      </w:r>
    </w:p>
    <w:p>
      <w:pPr/>
      <w:r>
        <w:rPr>
          <w:rFonts w:ascii="Arial" w:hAnsi="Arial" w:cs="Arial"/>
          <w:sz w:val="20"/>
          <w:sz-cs w:val="20"/>
        </w:rPr>
        <w:t xml:space="preserve">£45–65</w:t>
      </w:r>
    </w:p>
    <w:p>
      <w:pPr/>
      <w:r>
        <w:rPr>
          <w:rFonts w:ascii="Arial" w:hAnsi="Arial" w:cs="Arial"/>
          <w:sz w:val="20"/>
          <w:sz-cs w:val="20"/>
        </w:rPr>
        <w:t xml:space="preserve">Based on NMS pharmacist tariff (£24.60) + digital platform costs</w:t>
      </w:r>
    </w:p>
    <w:p>
      <w:pPr/>
      <w:r>
        <w:rPr>
          <w:rFonts w:ascii="Arial" w:hAnsi="Arial" w:cs="Arial"/>
          <w:sz w:val="20"/>
          <w:sz-cs w:val="20"/>
        </w:rPr>
        <w:t xml:space="preserve">Cost of intervention at scale (1.2m patients)</w:t>
      </w:r>
    </w:p>
    <w:p>
      <w:pPr/>
      <w:r>
        <w:rPr>
          <w:rFonts w:ascii="Arial" w:hAnsi="Arial" w:cs="Arial"/>
          <w:sz w:val="20"/>
          <w:sz-cs w:val="20"/>
        </w:rPr>
        <w:t xml:space="preserve">£54–78 million</w:t>
      </w:r>
    </w:p>
    <w:p>
      <w:pPr/>
      <w:r>
        <w:rPr>
          <w:rFonts w:ascii="Arial" w:hAnsi="Arial" w:cs="Arial"/>
          <w:sz w:val="20"/>
          <w:sz-cs w:val="20"/>
        </w:rPr>
        <w:t xml:space="preserve">Assumes not all eligible patients need full pathway</w:t>
      </w:r>
    </w:p>
    <w:p>
      <w:pPr/>
      <w:r>
        <w:rPr>
          <w:rFonts w:ascii="Arial" w:hAnsi="Arial" w:cs="Arial"/>
          <w:sz w:val="20"/>
          <w:sz-cs w:val="20"/>
        </w:rPr>
        <w:t xml:space="preserve">Net position at full scale</w:t>
      </w:r>
    </w:p>
    <w:p>
      <w:pPr/>
      <w:r>
        <w:rPr>
          <w:rFonts w:ascii="Arial" w:hAnsi="Arial" w:cs="Arial"/>
          <w:sz w:val="20"/>
          <w:sz-cs w:val="20"/>
        </w:rPr>
        <w:t xml:space="preserve">Breakeven to positive at 15–20% adherence uplift</w:t>
      </w:r>
    </w:p>
    <w:p>
      <w:pPr/>
      <w:r>
        <w:rPr>
          <w:rFonts w:ascii="Arial" w:hAnsi="Arial" w:cs="Arial"/>
          <w:sz w:val="20"/>
          <w:sz-cs w:val="20"/>
        </w:rPr>
        <w:t xml:space="preserve">Sensitivity modelling required</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Who Saves, Who Spends</w:t>
      </w:r>
    </w:p>
    <w:p>
      <w:pPr>
        <w:ind w:left="720"/>
        <w:spacing w:before="40" w:after="40"/>
      </w:pPr>
      <w:r>
        <w:rPr>
          <w:rFonts w:ascii="Arial" w:hAnsi="Arial" w:cs="Arial"/>
          <w:sz w:val="22"/>
          <w:sz-cs w:val="22"/>
          <w:b/>
        </w:rPr>
        <w:t xml:space="preserve"/>
        <w:tab/>
        <w:t xml:space="preserve">•</w:t>
        <w:tab/>
        <w:t xml:space="preserve">Acute Trusts save: reduction in 30-day readmission rates for older patients on polypharmacy — the primary financial benefit</w:t>
      </w:r>
    </w:p>
    <w:p>
      <w:pPr>
        <w:ind w:left="720"/>
        <w:spacing w:before="40" w:after="40"/>
      </w:pPr>
      <w:r>
        <w:rPr>
          <w:rFonts w:ascii="Arial" w:hAnsi="Arial" w:cs="Arial"/>
          <w:sz w:val="22"/>
          <w:sz-cs w:val="22"/>
          <w:b/>
        </w:rPr>
        <w:t xml:space="preserve"/>
        <w:tab/>
        <w:t xml:space="preserve">•</w:t>
        <w:tab/>
        <w:t xml:space="preserve">ICBs / Commissioners fund: pharmacist time and digital platform licence — requires cross-system payment agreement</w:t>
      </w:r>
    </w:p>
    <w:p>
      <w:pPr>
        <w:ind w:left="720"/>
        <w:spacing w:before="40" w:after="40"/>
      </w:pPr>
      <w:r>
        <w:rPr>
          <w:rFonts w:ascii="Arial" w:hAnsi="Arial" w:cs="Arial"/>
          <w:sz w:val="22"/>
          <w:sz-cs w:val="22"/>
          <w:b/>
        </w:rPr>
        <w:t xml:space="preserve"/>
        <w:tab/>
        <w:t xml:space="preserve">•</w:t>
        <w:tab/>
        <w:t xml:space="preserve">Community Pharmacy delivers: service opportunity aligned with existing NMS contractual infrastructure</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Key Risks and Mitigations</w:t>
      </w:r>
    </w:p>
    <w:p>
      <w:pPr>
        <w:ind w:left="720"/>
        <w:spacing w:before="40" w:after="40"/>
      </w:pPr>
      <w:r>
        <w:rPr>
          <w:rFonts w:ascii="Arial" w:hAnsi="Arial" w:cs="Arial"/>
          <w:sz w:val="22"/>
          <w:sz-cs w:val="22"/>
          <w:b/>
        </w:rPr>
        <w:t xml:space="preserve"/>
        <w:tab/>
        <w:t xml:space="preserve">•</w:t>
        <w:tab/>
        <w:t xml:space="preserve">Risk: Pharmacist workforce capacity. Mitigation: Digital-first design reduces contact time; task-shifting to pharmacy technicians for triage</w:t>
      </w:r>
    </w:p>
    <w:p>
      <w:pPr>
        <w:ind w:left="720"/>
        <w:spacing w:before="40" w:after="40"/>
      </w:pPr>
      <w:r>
        <w:rPr>
          <w:rFonts w:ascii="Arial" w:hAnsi="Arial" w:cs="Arial"/>
          <w:sz w:val="22"/>
          <w:sz-cs w:val="22"/>
          <w:b/>
        </w:rPr>
        <w:t xml:space="preserve"/>
        <w:tab/>
        <w:t xml:space="preserve">•</w:t>
        <w:tab/>
        <w:t xml:space="preserve">Risk: Low digital literacy in oldest cohorts. Mitigation: Telephone fallback built into pathway; caregiver proxy access</w:t>
      </w:r>
    </w:p>
    <w:p>
      <w:pPr>
        <w:ind w:left="720"/>
        <w:spacing w:before="40" w:after="40"/>
      </w:pPr>
      <w:r>
        <w:rPr>
          <w:rFonts w:ascii="Arial" w:hAnsi="Arial" w:cs="Arial"/>
          <w:sz w:val="22"/>
          <w:sz-cs w:val="22"/>
          <w:b/>
        </w:rPr>
        <w:t xml:space="preserve"/>
        <w:tab/>
        <w:t xml:space="preserve">•</w:t>
        <w:tab/>
        <w:t xml:space="preserve">Risk: Attribution of savings. Mitigation: Pre-agree readmission tracking with acute trusts; embed in Population Health Management framework</w:t>
      </w:r>
    </w:p>
    <w:p>
      <w:pPr>
        <w:spacing w:before="60" w:after="60"/>
      </w:pPr>
      <w:r>
        <w:rPr>
          <w:rFonts w:ascii="Times" w:hAnsi="Times" w:cs="Times"/>
          <w:sz w:val="24"/>
          <w:sz-cs w:val="24"/>
        </w:rPr>
        <w:t xml:space="preserve"/>
      </w:r>
    </w:p>
    <w:p>
      <w:pPr>
        <w:spacing w:after="60"/>
      </w:pPr>
      <w:r>
        <w:rPr>
          <w:rFonts w:ascii="Arial" w:hAnsi="Arial" w:cs="Arial"/>
          <w:sz w:val="22"/>
          <w:sz-cs w:val="22"/>
          <w:b/>
          <w:color w:val="2E6DA4"/>
        </w:rPr>
        <w:t xml:space="preserve">Evidence Base</w:t>
      </w:r>
    </w:p>
    <w:p>
      <w:pPr/>
      <w:r>
        <w:rPr>
          <w:rFonts w:ascii="Arial" w:hAnsi="Arial" w:cs="Arial"/>
          <w:sz w:val="22"/>
          <w:sz-cs w:val="22"/>
        </w:rPr>
        <w:t xml:space="preserve">NMS RCT (Universities of Manchester, Nottingham, UCL) demonstrated 10% adherence improvement and modelled £517.6 million in five-year long-term savings for NHS England. Short-term saving was £75.4 million. Pharmacist cost per patient: £24.60 per NMS consultation. Published in PharmacoEconomics.</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Option 2: Connected Automated Medication Dispensers for High-Risk Older Adults</w:t>
      </w:r>
    </w:p>
    <w:p>
      <w:pPr>
        <w:spacing w:before="200" w:after="80"/>
      </w:pPr>
      <w:r>
        <w:rPr>
          <w:rFonts w:ascii="Arial" w:hAnsi="Arial" w:cs="Arial"/>
          <w:sz w:val="24"/>
          <w:sz-cs w:val="24"/>
          <w:b/>
          <w:color w:val="1A3A5C"/>
        </w:rPr>
        <w:t xml:space="preserve">The Problem Being Solved</w:t>
      </w:r>
    </w:p>
    <w:p>
      <w:pPr>
        <w:spacing w:before="80" w:after="120"/>
      </w:pPr>
      <w:r>
        <w:rPr>
          <w:rFonts w:ascii="Arial" w:hAnsi="Arial" w:cs="Arial"/>
          <w:sz w:val="22"/>
          <w:sz-cs w:val="22"/>
        </w:rPr>
        <w:t xml:space="preserve">For older people with cognitive impairment, polypharmacy, or physical limitations (poor dexterity, low vision), reminder-only interventions are insufficient. The barriers to adherence are not motivational but functional: patients cannot reliably organise, identify, and time their medicines. Automated connected dispensers address these physical and cognitive barriers directly, while generating real-time adherence data that clinical teams can act on.</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The Intervention</w:t>
      </w:r>
    </w:p>
    <w:p>
      <w:pPr>
        <w:spacing w:before="80" w:after="120"/>
      </w:pPr>
      <w:r>
        <w:rPr>
          <w:rFonts w:ascii="Arial" w:hAnsi="Arial" w:cs="Arial"/>
          <w:sz w:val="22"/>
          <w:sz-cs w:val="22"/>
        </w:rPr>
        <w:t xml:space="preserve">Provision of connected smart medication dispensers to a defined high-risk cohort: older people aged 70+ on five or more medicines, with a recent hospital admission or documented adherence problem. Dispensers pre-loaded by pharmacy, with automated alerts for missed doses, real-time monitoring dashboard for named pharmacist or GP, and escalation triggers. Devices link via mobile network — no broadband required, addressing a key digital exclusion barrier. A live NHS pilot (Bristol, North Somerset and South Gloucestershire ICB, Health Foundation Tech for Better Care programme) is currently running through December 2025, providing emerging local evidence.</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Financial Model</w:t>
      </w:r>
    </w:p>
    <w:p>
      <w:pPr/>
      <w:r>
        <w:rPr>
          <w:rFonts w:ascii="Arial" w:hAnsi="Arial" w:cs="Arial"/>
          <w:sz w:val="20"/>
          <w:sz-cs w:val="20"/>
          <w:b/>
          <w:color w:val="FFFFFF"/>
        </w:rPr>
        <w:t xml:space="preserve">Parameter</w:t>
      </w:r>
    </w:p>
    <w:p>
      <w:pPr/>
      <w:r>
        <w:rPr>
          <w:rFonts w:ascii="Arial" w:hAnsi="Arial" w:cs="Arial"/>
          <w:sz w:val="20"/>
          <w:sz-cs w:val="20"/>
          <w:b/>
          <w:color w:val="FFFFFF"/>
        </w:rPr>
        <w:t xml:space="preserve">Value</w:t>
      </w:r>
    </w:p>
    <w:p>
      <w:pPr/>
      <w:r>
        <w:rPr>
          <w:rFonts w:ascii="Arial" w:hAnsi="Arial" w:cs="Arial"/>
          <w:sz w:val="20"/>
          <w:sz-cs w:val="20"/>
          <w:b/>
          <w:color w:val="FFFFFF"/>
        </w:rPr>
        <w:t xml:space="preserve">Source / Assumption</w:t>
      </w:r>
    </w:p>
    <w:p>
      <w:pPr/>
      <w:r>
        <w:rPr>
          <w:rFonts w:ascii="Arial" w:hAnsi="Arial" w:cs="Arial"/>
          <w:sz w:val="20"/>
          <w:sz-cs w:val="20"/>
        </w:rPr>
        <w:t xml:space="preserve">Target cohort (high-risk older adults, England)</w:t>
      </w:r>
    </w:p>
    <w:p>
      <w:pPr/>
      <w:r>
        <w:rPr>
          <w:rFonts w:ascii="Arial" w:hAnsi="Arial" w:cs="Arial"/>
          <w:sz w:val="20"/>
          <w:sz-cs w:val="20"/>
        </w:rPr>
        <w:t xml:space="preserve">~400,000</w:t>
      </w:r>
    </w:p>
    <w:p>
      <w:pPr/>
      <w:r>
        <w:rPr>
          <w:rFonts w:ascii="Arial" w:hAnsi="Arial" w:cs="Arial"/>
          <w:sz w:val="20"/>
          <w:sz-cs w:val="20"/>
        </w:rPr>
        <w:t xml:space="preserve">Estimated 5+ medicines + recent admission or known non-adherence</w:t>
      </w:r>
    </w:p>
    <w:p>
      <w:pPr/>
      <w:r>
        <w:rPr>
          <w:rFonts w:ascii="Arial" w:hAnsi="Arial" w:cs="Arial"/>
          <w:sz w:val="20"/>
          <w:sz-cs w:val="20"/>
        </w:rPr>
        <w:t xml:space="preserve">Observed adherence with smart dispensers</w:t>
      </w:r>
    </w:p>
    <w:p>
      <w:pPr/>
      <w:r>
        <w:rPr>
          <w:rFonts w:ascii="Arial" w:hAnsi="Arial" w:cs="Arial"/>
          <w:sz w:val="20"/>
          <w:sz-cs w:val="20"/>
        </w:rPr>
        <w:t xml:space="preserve">93–97%</w:t>
      </w:r>
    </w:p>
    <w:p>
      <w:pPr/>
      <w:r>
        <w:rPr>
          <w:rFonts w:ascii="Arial" w:hAnsi="Arial" w:cs="Arial"/>
          <w:sz w:val="20"/>
          <w:sz-cs w:val="20"/>
        </w:rPr>
        <w:t xml:space="preserve">Prospective observational studies; JMIR Formative Research 2022</w:t>
      </w:r>
    </w:p>
    <w:p>
      <w:pPr/>
      <w:r>
        <w:rPr>
          <w:rFonts w:ascii="Arial" w:hAnsi="Arial" w:cs="Arial"/>
          <w:sz w:val="20"/>
          <w:sz-cs w:val="20"/>
        </w:rPr>
        <w:t xml:space="preserve">Baseline adherence rate in target cohort</w:t>
      </w:r>
    </w:p>
    <w:p>
      <w:pPr/>
      <w:r>
        <w:rPr>
          <w:rFonts w:ascii="Arial" w:hAnsi="Arial" w:cs="Arial"/>
          <w:sz w:val="20"/>
          <w:sz-cs w:val="20"/>
        </w:rPr>
        <w:t xml:space="preserve">~60–65%</w:t>
      </w:r>
    </w:p>
    <w:p>
      <w:pPr/>
      <w:r>
        <w:rPr>
          <w:rFonts w:ascii="Arial" w:hAnsi="Arial" w:cs="Arial"/>
          <w:sz w:val="20"/>
          <w:sz-cs w:val="20"/>
        </w:rPr>
        <w:t xml:space="preserve">Polypharmacy + cognitive impairment population</w:t>
      </w:r>
    </w:p>
    <w:p>
      <w:pPr/>
      <w:r>
        <w:rPr>
          <w:rFonts w:ascii="Arial" w:hAnsi="Arial" w:cs="Arial"/>
          <w:sz w:val="20"/>
          <w:sz-cs w:val="20"/>
        </w:rPr>
        <w:t xml:space="preserve">Device cost per patient per year</w:t>
      </w:r>
    </w:p>
    <w:p>
      <w:pPr/>
      <w:r>
        <w:rPr>
          <w:rFonts w:ascii="Arial" w:hAnsi="Arial" w:cs="Arial"/>
          <w:sz w:val="20"/>
          <w:sz-cs w:val="20"/>
        </w:rPr>
        <w:t xml:space="preserve">£350–600</w:t>
      </w:r>
    </w:p>
    <w:p>
      <w:pPr/>
      <w:r>
        <w:rPr>
          <w:rFonts w:ascii="Arial" w:hAnsi="Arial" w:cs="Arial"/>
          <w:sz w:val="20"/>
          <w:sz-cs w:val="20"/>
        </w:rPr>
        <w:t xml:space="preserve">Hardware amortised + pharmacy loading + monitoring platform</w:t>
      </w:r>
    </w:p>
    <w:p>
      <w:pPr/>
      <w:r>
        <w:rPr>
          <w:rFonts w:ascii="Arial" w:hAnsi="Arial" w:cs="Arial"/>
          <w:sz w:val="20"/>
          <w:sz-cs w:val="20"/>
        </w:rPr>
        <w:t xml:space="preserve">Cost per avoided readmission (avoided)</w:t>
      </w:r>
    </w:p>
    <w:p>
      <w:pPr/>
      <w:r>
        <w:rPr>
          <w:rFonts w:ascii="Arial" w:hAnsi="Arial" w:cs="Arial"/>
          <w:sz w:val="20"/>
          <w:sz-cs w:val="20"/>
        </w:rPr>
        <w:t xml:space="preserve">£2,500–£3,500</w:t>
      </w:r>
    </w:p>
    <w:p>
      <w:pPr/>
      <w:r>
        <w:rPr>
          <w:rFonts w:ascii="Arial" w:hAnsi="Arial" w:cs="Arial"/>
          <w:sz w:val="20"/>
          <w:sz-cs w:val="20"/>
        </w:rPr>
        <w:t xml:space="preserve">NHS Payment Scheme tariff range for emergency medical admissions</w:t>
      </w:r>
    </w:p>
    <w:p>
      <w:pPr/>
      <w:r>
        <w:rPr>
          <w:rFonts w:ascii="Arial" w:hAnsi="Arial" w:cs="Arial"/>
          <w:sz w:val="20"/>
          <w:sz-cs w:val="20"/>
        </w:rPr>
        <w:t xml:space="preserve">Readmission reduction required for breakeven</w:t>
      </w:r>
    </w:p>
    <w:p>
      <w:pPr/>
      <w:r>
        <w:rPr>
          <w:rFonts w:ascii="Arial" w:hAnsi="Arial" w:cs="Arial"/>
          <w:sz w:val="20"/>
          <w:sz-cs w:val="20"/>
        </w:rPr>
        <w:t xml:space="preserve">~1 avoided readmission per 6–9 patients/year</w:t>
      </w:r>
    </w:p>
    <w:p>
      <w:pPr/>
      <w:r>
        <w:rPr>
          <w:rFonts w:ascii="Arial" w:hAnsi="Arial" w:cs="Arial"/>
          <w:sz w:val="20"/>
          <w:sz-cs w:val="20"/>
        </w:rPr>
        <w:t xml:space="preserve">Modelled from device cost vs readmission tariff</w:t>
      </w:r>
    </w:p>
    <w:p>
      <w:pPr/>
      <w:r>
        <w:rPr>
          <w:rFonts w:ascii="Arial" w:hAnsi="Arial" w:cs="Arial"/>
          <w:sz w:val="20"/>
          <w:sz-cs w:val="20"/>
        </w:rPr>
        <w:t xml:space="preserve">Observed readmission reduction in comparable studies</w:t>
      </w:r>
    </w:p>
    <w:p>
      <w:pPr/>
      <w:r>
        <w:rPr>
          <w:rFonts w:ascii="Arial" w:hAnsi="Arial" w:cs="Arial"/>
          <w:sz w:val="20"/>
          <w:sz-cs w:val="20"/>
        </w:rPr>
        <w:t xml:space="preserve">1 per 4–5 patients/year</w:t>
      </w:r>
    </w:p>
    <w:p>
      <w:pPr/>
      <w:r>
        <w:rPr>
          <w:rFonts w:ascii="Arial" w:hAnsi="Arial" w:cs="Arial"/>
          <w:sz w:val="20"/>
          <w:sz-cs w:val="20"/>
        </w:rPr>
        <w:t xml:space="preserve">US home dispenser trials; UK pilot data emerging</w:t>
      </w:r>
    </w:p>
    <w:p>
      <w:pPr/>
      <w:r>
        <w:rPr>
          <w:rFonts w:ascii="Arial" w:hAnsi="Arial" w:cs="Arial"/>
          <w:sz w:val="20"/>
          <w:sz-cs w:val="20"/>
        </w:rPr>
        <w:t xml:space="preserve">Modelled net saving at scale (400k patients)</w:t>
      </w:r>
    </w:p>
    <w:p>
      <w:pPr/>
      <w:r>
        <w:rPr>
          <w:rFonts w:ascii="Arial" w:hAnsi="Arial" w:cs="Arial"/>
          <w:sz w:val="20"/>
          <w:sz-cs w:val="20"/>
        </w:rPr>
        <w:t xml:space="preserve">£120–180 million/year</w:t>
      </w:r>
    </w:p>
    <w:p>
      <w:pPr/>
      <w:r>
        <w:rPr>
          <w:rFonts w:ascii="Arial" w:hAnsi="Arial" w:cs="Arial"/>
          <w:sz w:val="20"/>
          <w:sz-cs w:val="20"/>
        </w:rPr>
        <w:t xml:space="preserve">Conservative; excludes GP avoidance and carer burden reduction</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Who Saves, Who Spends</w:t>
      </w:r>
    </w:p>
    <w:p>
      <w:pPr>
        <w:ind w:left="720"/>
        <w:spacing w:before="40" w:after="40"/>
      </w:pPr>
      <w:r>
        <w:rPr>
          <w:rFonts w:ascii="Arial" w:hAnsi="Arial" w:cs="Arial"/>
          <w:sz w:val="22"/>
          <w:sz-cs w:val="22"/>
          <w:b/>
        </w:rPr>
        <w:t xml:space="preserve"/>
        <w:tab/>
        <w:t xml:space="preserve">•</w:t>
        <w:tab/>
        <w:t xml:space="preserve">Acute Trusts save: largest beneficiary — avoided emergency admissions directly reduce provider-side cost</w:t>
      </w:r>
    </w:p>
    <w:p>
      <w:pPr>
        <w:ind w:left="720"/>
        <w:spacing w:before="40" w:after="40"/>
      </w:pPr>
      <w:r>
        <w:rPr>
          <w:rFonts w:ascii="Arial" w:hAnsi="Arial" w:cs="Arial"/>
          <w:sz w:val="22"/>
          <w:sz-cs w:val="22"/>
          <w:b/>
        </w:rPr>
        <w:t xml:space="preserve"/>
        <w:tab/>
        <w:t xml:space="preserve">•</w:t>
        <w:tab/>
        <w:t xml:space="preserve">Local Authorities co-invest: reduced carer support hours for medication management is a direct social care saving</w:t>
      </w:r>
    </w:p>
    <w:p>
      <w:pPr>
        <w:ind w:left="720"/>
        <w:spacing w:before="40" w:after="40"/>
      </w:pPr>
      <w:r>
        <w:rPr>
          <w:rFonts w:ascii="Arial" w:hAnsi="Arial" w:cs="Arial"/>
          <w:sz w:val="22"/>
          <w:sz-cs w:val="22"/>
          <w:b/>
        </w:rPr>
        <w:t xml:space="preserve"/>
        <w:tab/>
        <w:t xml:space="preserve">•</w:t>
        <w:tab/>
        <w:t xml:space="preserve">ICBs commission: cross-system funding model essential; this is a natural Integrated Care Board investment given multi-organisational beneficiaries</w:t>
      </w:r>
    </w:p>
    <w:p>
      <w:pPr>
        <w:ind w:left="720"/>
        <w:spacing w:before="40" w:after="40"/>
      </w:pPr>
      <w:r>
        <w:rPr>
          <w:rFonts w:ascii="Arial" w:hAnsi="Arial" w:cs="Arial"/>
          <w:sz w:val="22"/>
          <w:sz-cs w:val="22"/>
          <w:b/>
        </w:rPr>
        <w:t xml:space="preserve"/>
        <w:tab/>
        <w:t xml:space="preserve">•</w:t>
        <w:tab/>
        <w:t xml:space="preserve">Community Pharmacy benefits: pre-loading dispensers is a reimbursable service; reduces repeated dossette box preparation workload</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Key Risks and Mitigations</w:t>
      </w:r>
    </w:p>
    <w:p>
      <w:pPr>
        <w:ind w:left="720"/>
        <w:spacing w:before="40" w:after="40"/>
      </w:pPr>
      <w:r>
        <w:rPr>
          <w:rFonts w:ascii="Arial" w:hAnsi="Arial" w:cs="Arial"/>
          <w:sz w:val="22"/>
          <w:sz-cs w:val="22"/>
          <w:b/>
        </w:rPr>
        <w:t xml:space="preserve"/>
        <w:tab/>
        <w:t xml:space="preserve">•</w:t>
        <w:tab/>
        <w:t xml:space="preserve">Risk: High upfront hardware cost. Mitigation: Lease/subscription model from device suppliers (Evondos, Karie Health, Livi); align with NHS framework procurement</w:t>
      </w:r>
    </w:p>
    <w:p>
      <w:pPr>
        <w:ind w:left="720"/>
        <w:spacing w:before="40" w:after="40"/>
      </w:pPr>
      <w:r>
        <w:rPr>
          <w:rFonts w:ascii="Arial" w:hAnsi="Arial" w:cs="Arial"/>
          <w:sz w:val="22"/>
          <w:sz-cs w:val="22"/>
          <w:b/>
        </w:rPr>
        <w:t xml:space="preserve"/>
        <w:tab/>
        <w:t xml:space="preserve">•</w:t>
        <w:tab/>
        <w:t xml:space="preserve">Risk: Patient acceptance and setup burden. Mitigation: Community pharmacy delivery and setup built into service; carer/family inclusion in onboarding</w:t>
      </w:r>
    </w:p>
    <w:p>
      <w:pPr>
        <w:ind w:left="720"/>
        <w:spacing w:before="40" w:after="40"/>
      </w:pPr>
      <w:r>
        <w:rPr>
          <w:rFonts w:ascii="Arial" w:hAnsi="Arial" w:cs="Arial"/>
          <w:sz w:val="22"/>
          <w:sz-cs w:val="22"/>
          <w:b/>
        </w:rPr>
        <w:t xml:space="preserve"/>
        <w:tab/>
        <w:t xml:space="preserve">•</w:t>
        <w:tab/>
        <w:t xml:space="preserve">Risk: Data governance for real-time monitoring. Mitigation: Design within ICB shared care record infrastructure; adherence data as clinical record</w:t>
      </w:r>
    </w:p>
    <w:p>
      <w:pPr>
        <w:spacing w:before="60" w:after="60"/>
      </w:pPr>
      <w:r>
        <w:rPr>
          <w:rFonts w:ascii="Times" w:hAnsi="Times" w:cs="Times"/>
          <w:sz w:val="24"/>
          <w:sz-cs w:val="24"/>
        </w:rPr>
        <w:t xml:space="preserve"/>
      </w:r>
    </w:p>
    <w:p>
      <w:pPr>
        <w:spacing w:after="60"/>
      </w:pPr>
      <w:r>
        <w:rPr>
          <w:rFonts w:ascii="Arial" w:hAnsi="Arial" w:cs="Arial"/>
          <w:sz w:val="22"/>
          <w:sz-cs w:val="22"/>
          <w:b/>
          <w:color w:val="2E6DA4"/>
        </w:rPr>
        <w:t xml:space="preserve">Emerging NHS Evidence</w:t>
      </w:r>
    </w:p>
    <w:p>
      <w:pPr/>
      <w:r>
        <w:rPr>
          <w:rFonts w:ascii="Arial" w:hAnsi="Arial" w:cs="Arial"/>
          <w:sz w:val="22"/>
          <w:sz-cs w:val="22"/>
        </w:rPr>
        <w:t xml:space="preserve">NHS Bristol, North Somerset and South Gloucestershire ICB Personalised Medication Support Service pilot (January–December 2025, Health Foundation Tech for Better Care programme) is the first UK system-level test of this model. Results expected late 2025. This investment case should be refreshed once pilot data is published.</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Option 3: Adherence Monitoring Integrated into Shared Care Records / EPR</w:t>
      </w:r>
    </w:p>
    <w:p>
      <w:pPr>
        <w:spacing w:before="200" w:after="80"/>
      </w:pPr>
      <w:r>
        <w:rPr>
          <w:rFonts w:ascii="Arial" w:hAnsi="Arial" w:cs="Arial"/>
          <w:sz w:val="24"/>
          <w:sz-cs w:val="24"/>
          <w:b/>
          <w:color w:val="1A3A5C"/>
        </w:rPr>
        <w:t xml:space="preserve">The Problem Being Solved</w:t>
      </w:r>
    </w:p>
    <w:p>
      <w:pPr>
        <w:spacing w:before="80" w:after="120"/>
      </w:pPr>
      <w:r>
        <w:rPr>
          <w:rFonts w:ascii="Arial" w:hAnsi="Arial" w:cs="Arial"/>
          <w:sz w:val="22"/>
          <w:sz-cs w:val="22"/>
        </w:rPr>
        <w:t xml:space="preserve">The two options above address adherence at the point of the patient. This option addresses the clinical infrastructure problem: NHS clinicians currently have no reliable, real-time view of whether their patients are taking prescribed medicines. Without this, dose escalation (clinicians assuming treatment failure rather than non-adherence) generates additional prescribing cost, and non-adherent patients are invisible to the system until they deteriorate and present to acute care.</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The Intervention</w:t>
      </w:r>
    </w:p>
    <w:p>
      <w:pPr>
        <w:spacing w:before="80" w:after="120"/>
      </w:pPr>
      <w:r>
        <w:rPr>
          <w:rFonts w:ascii="Arial" w:hAnsi="Arial" w:cs="Arial"/>
          <w:sz w:val="22"/>
          <w:sz-cs w:val="22"/>
        </w:rPr>
        <w:t xml:space="preserve">Integration of medication adherence data — drawn from electronic prescribing records, dispensing data (NHS Business Services Authority claims), smart dispenser feeds, and patient-reported app data — into the ICB shared care record. Combined with a Population Health Management (PHM) analytics layer to risk-stratify patients by non-adherence probability, enabling proactive outreach before clinical deterioration. This is an enabling platform: it makes Options 1 and 2 significantly more effective by ensuring interventions are targeted at those most likely to benefit.</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Financial Model</w:t>
      </w:r>
    </w:p>
    <w:p>
      <w:pPr/>
      <w:r>
        <w:rPr>
          <w:rFonts w:ascii="Arial" w:hAnsi="Arial" w:cs="Arial"/>
          <w:sz w:val="20"/>
          <w:sz-cs w:val="20"/>
          <w:b/>
          <w:color w:val="FFFFFF"/>
        </w:rPr>
        <w:t xml:space="preserve">Parameter</w:t>
      </w:r>
    </w:p>
    <w:p>
      <w:pPr/>
      <w:r>
        <w:rPr>
          <w:rFonts w:ascii="Arial" w:hAnsi="Arial" w:cs="Arial"/>
          <w:sz w:val="20"/>
          <w:sz-cs w:val="20"/>
          <w:b/>
          <w:color w:val="FFFFFF"/>
        </w:rPr>
        <w:t xml:space="preserve">Value</w:t>
      </w:r>
    </w:p>
    <w:p>
      <w:pPr/>
      <w:r>
        <w:rPr>
          <w:rFonts w:ascii="Arial" w:hAnsi="Arial" w:cs="Arial"/>
          <w:sz w:val="20"/>
          <w:sz-cs w:val="20"/>
          <w:b/>
          <w:color w:val="FFFFFF"/>
        </w:rPr>
        <w:t xml:space="preserve">Source / Assumption</w:t>
      </w:r>
    </w:p>
    <w:p>
      <w:pPr/>
      <w:r>
        <w:rPr>
          <w:rFonts w:ascii="Arial" w:hAnsi="Arial" w:cs="Arial"/>
          <w:sz w:val="20"/>
          <w:sz-cs w:val="20"/>
        </w:rPr>
        <w:t xml:space="preserve">Cost of adherence-related spend identifiable through NHSBSA dispensing data</w:t>
      </w:r>
    </w:p>
    <w:p>
      <w:pPr/>
      <w:r>
        <w:rPr>
          <w:rFonts w:ascii="Arial" w:hAnsi="Arial" w:cs="Arial"/>
          <w:sz w:val="20"/>
          <w:sz-cs w:val="20"/>
        </w:rPr>
        <w:t xml:space="preserve">£300 million (wasted medicines alone)</w:t>
      </w:r>
    </w:p>
    <w:p>
      <w:pPr/>
      <w:r>
        <w:rPr>
          <w:rFonts w:ascii="Arial" w:hAnsi="Arial" w:cs="Arial"/>
          <w:sz w:val="20"/>
          <w:sz-cs w:val="20"/>
        </w:rPr>
        <w:t xml:space="preserve">Royal Pharmaceutical Society; NHSBSA</w:t>
      </w:r>
    </w:p>
    <w:p>
      <w:pPr/>
      <w:r>
        <w:rPr>
          <w:rFonts w:ascii="Arial" w:hAnsi="Arial" w:cs="Arial"/>
          <w:sz w:val="20"/>
          <w:sz-cs w:val="20"/>
        </w:rPr>
        <w:t xml:space="preserve">Patients whose dose was escalated due to assumed non-response (undetected non-adherence)</w:t>
      </w:r>
    </w:p>
    <w:p>
      <w:pPr/>
      <w:r>
        <w:rPr>
          <w:rFonts w:ascii="Arial" w:hAnsi="Arial" w:cs="Arial"/>
          <w:sz w:val="20"/>
          <w:sz-cs w:val="20"/>
        </w:rPr>
        <w:t xml:space="preserve">Estimated 15–20% of non-adherent patients</w:t>
      </w:r>
    </w:p>
    <w:p>
      <w:pPr/>
      <w:r>
        <w:rPr>
          <w:rFonts w:ascii="Arial" w:hAnsi="Arial" w:cs="Arial"/>
          <w:sz w:val="20"/>
          <w:sz-cs w:val="20"/>
        </w:rPr>
        <w:t xml:space="preserve">Clinical literature; clinicians 'know' real-world outcomes are worse than trials</w:t>
      </w:r>
    </w:p>
    <w:p>
      <w:pPr/>
      <w:r>
        <w:rPr>
          <w:rFonts w:ascii="Arial" w:hAnsi="Arial" w:cs="Arial"/>
          <w:sz w:val="20"/>
          <w:sz-cs w:val="20"/>
        </w:rPr>
        <w:t xml:space="preserve">Additional prescribing cost from dose escalation in non-adherent patients</w:t>
      </w:r>
    </w:p>
    <w:p>
      <w:pPr/>
      <w:r>
        <w:rPr>
          <w:rFonts w:ascii="Arial" w:hAnsi="Arial" w:cs="Arial"/>
          <w:sz w:val="20"/>
          <w:sz-cs w:val="20"/>
        </w:rPr>
        <w:t xml:space="preserve">Unquantified nationally; material</w:t>
      </w:r>
    </w:p>
    <w:p>
      <w:pPr/>
      <w:r>
        <w:rPr>
          <w:rFonts w:ascii="Arial" w:hAnsi="Arial" w:cs="Arial"/>
          <w:sz w:val="20"/>
          <w:sz-cs w:val="20"/>
        </w:rPr>
        <w:t xml:space="preserve">No national study; modelling required locally</w:t>
      </w:r>
    </w:p>
    <w:p>
      <w:pPr/>
      <w:r>
        <w:rPr>
          <w:rFonts w:ascii="Arial" w:hAnsi="Arial" w:cs="Arial"/>
          <w:sz w:val="20"/>
          <w:sz-cs w:val="20"/>
        </w:rPr>
        <w:t xml:space="preserve">Platform build and integration cost (ICB level)</w:t>
      </w:r>
    </w:p>
    <w:p>
      <w:pPr/>
      <w:r>
        <w:rPr>
          <w:rFonts w:ascii="Arial" w:hAnsi="Arial" w:cs="Arial"/>
          <w:sz w:val="20"/>
          <w:sz-cs w:val="20"/>
        </w:rPr>
        <w:t xml:space="preserve">£500k–£1.5 million</w:t>
      </w:r>
    </w:p>
    <w:p>
      <w:pPr/>
      <w:r>
        <w:rPr>
          <w:rFonts w:ascii="Arial" w:hAnsi="Arial" w:cs="Arial"/>
          <w:sz w:val="20"/>
          <w:sz-cs w:val="20"/>
        </w:rPr>
        <w:t xml:space="preserve">Based on shared care record integration projects; vendor range</w:t>
      </w:r>
    </w:p>
    <w:p>
      <w:pPr/>
      <w:r>
        <w:rPr>
          <w:rFonts w:ascii="Arial" w:hAnsi="Arial" w:cs="Arial"/>
          <w:sz w:val="20"/>
          <w:sz-cs w:val="20"/>
        </w:rPr>
        <w:t xml:space="preserve">Ongoing annual running cost</w:t>
      </w:r>
    </w:p>
    <w:p>
      <w:pPr/>
      <w:r>
        <w:rPr>
          <w:rFonts w:ascii="Arial" w:hAnsi="Arial" w:cs="Arial"/>
          <w:sz w:val="20"/>
          <w:sz-cs w:val="20"/>
        </w:rPr>
        <w:t xml:space="preserve">£150–350k/year</w:t>
      </w:r>
    </w:p>
    <w:p>
      <w:pPr/>
      <w:r>
        <w:rPr>
          <w:rFonts w:ascii="Arial" w:hAnsi="Arial" w:cs="Arial"/>
          <w:sz w:val="20"/>
          <w:sz-cs w:val="20"/>
        </w:rPr>
        <w:t xml:space="preserve">Analytics platform + information governance + data feeds</w:t>
      </w:r>
    </w:p>
    <w:p>
      <w:pPr/>
      <w:r>
        <w:rPr>
          <w:rFonts w:ascii="Arial" w:hAnsi="Arial" w:cs="Arial"/>
          <w:sz w:val="20"/>
          <w:sz-cs w:val="20"/>
        </w:rPr>
        <w:t xml:space="preserve">Value unlocked by identifying 10% of high-risk patients for targeted intervention</w:t>
      </w:r>
    </w:p>
    <w:p>
      <w:pPr/>
      <w:r>
        <w:rPr>
          <w:rFonts w:ascii="Arial" w:hAnsi="Arial" w:cs="Arial"/>
          <w:sz w:val="20"/>
          <w:sz-cs w:val="20"/>
        </w:rPr>
        <w:t xml:space="preserve">£40–80 million/year</w:t>
      </w:r>
    </w:p>
    <w:p>
      <w:pPr/>
      <w:r>
        <w:rPr>
          <w:rFonts w:ascii="Arial" w:hAnsi="Arial" w:cs="Arial"/>
          <w:sz w:val="20"/>
          <w:sz-cs w:val="20"/>
        </w:rPr>
        <w:t xml:space="preserve">Conservative model: 10% of £396m MRH cost; plus PHM-driven prevention</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Who Saves, Who Spends</w:t>
      </w:r>
    </w:p>
    <w:p>
      <w:pPr>
        <w:ind w:left="720"/>
        <w:spacing w:before="40" w:after="40"/>
      </w:pPr>
      <w:r>
        <w:rPr>
          <w:rFonts w:ascii="Arial" w:hAnsi="Arial" w:cs="Arial"/>
          <w:sz w:val="22"/>
          <w:sz-cs w:val="22"/>
          <w:b/>
        </w:rPr>
        <w:t xml:space="preserve"/>
        <w:tab/>
        <w:t xml:space="preserve">•</w:t>
        <w:tab/>
        <w:t xml:space="preserve">ICB invests: platform, data integration, PHM analytics capability — natural commissioning infrastructure spend</w:t>
      </w:r>
    </w:p>
    <w:p>
      <w:pPr>
        <w:ind w:left="720"/>
        <w:spacing w:before="40" w:after="40"/>
      </w:pPr>
      <w:r>
        <w:rPr>
          <w:rFonts w:ascii="Arial" w:hAnsi="Arial" w:cs="Arial"/>
          <w:sz w:val="22"/>
          <w:sz-cs w:val="22"/>
          <w:b/>
        </w:rPr>
        <w:t xml:space="preserve"/>
        <w:tab/>
        <w:t xml:space="preserve">•</w:t>
        <w:tab/>
        <w:t xml:space="preserve">Acute Trusts save: readmission reduction through earlier identification and intervention</w:t>
      </w:r>
    </w:p>
    <w:p>
      <w:pPr>
        <w:ind w:left="720"/>
        <w:spacing w:before="40" w:after="40"/>
      </w:pPr>
      <w:r>
        <w:rPr>
          <w:rFonts w:ascii="Arial" w:hAnsi="Arial" w:cs="Arial"/>
          <w:sz w:val="22"/>
          <w:sz-cs w:val="22"/>
          <w:b/>
        </w:rPr>
        <w:t xml:space="preserve"/>
        <w:tab/>
        <w:t xml:space="preserve">•</w:t>
        <w:tab/>
        <w:t xml:space="preserve">Primary Care saves: reduced appointments driven by undetected adherence failure; avoided unnecessary repeat prescribing</w:t>
      </w:r>
    </w:p>
    <w:p>
      <w:pPr>
        <w:ind w:left="720"/>
        <w:spacing w:before="40" w:after="40"/>
      </w:pPr>
      <w:r>
        <w:rPr>
          <w:rFonts w:ascii="Arial" w:hAnsi="Arial" w:cs="Arial"/>
          <w:sz w:val="22"/>
          <w:sz-cs w:val="22"/>
          <w:b/>
        </w:rPr>
        <w:t xml:space="preserve"/>
        <w:tab/>
        <w:t xml:space="preserve">•</w:t>
        <w:tab/>
        <w:t xml:space="preserve">All providers benefit: shared care record integration improves clinical decision-making across the whole system</w:t>
      </w:r>
    </w:p>
    <w:p>
      <w:pPr>
        <w:spacing w:before="60" w:after="60"/>
      </w:pPr>
      <w:r>
        <w:rPr>
          <w:rFonts w:ascii="Times" w:hAnsi="Times" w:cs="Times"/>
          <w:sz w:val="24"/>
          <w:sz-cs w:val="24"/>
        </w:rPr>
        <w:t xml:space="preserve"/>
      </w:r>
    </w:p>
    <w:p>
      <w:pPr>
        <w:spacing w:before="200" w:after="80"/>
      </w:pPr>
      <w:r>
        <w:rPr>
          <w:rFonts w:ascii="Arial" w:hAnsi="Arial" w:cs="Arial"/>
          <w:sz w:val="24"/>
          <w:sz-cs w:val="24"/>
          <w:b/>
          <w:color w:val="1A3A5C"/>
        </w:rPr>
        <w:t xml:space="preserve">Key Risks and Mitigations</w:t>
      </w:r>
    </w:p>
    <w:p>
      <w:pPr>
        <w:ind w:left="720"/>
        <w:spacing w:before="40" w:after="40"/>
      </w:pPr>
      <w:r>
        <w:rPr>
          <w:rFonts w:ascii="Arial" w:hAnsi="Arial" w:cs="Arial"/>
          <w:sz w:val="22"/>
          <w:sz-cs w:val="22"/>
          <w:b/>
        </w:rPr>
        <w:t xml:space="preserve"/>
        <w:tab/>
        <w:t xml:space="preserve">•</w:t>
        <w:tab/>
        <w:t xml:space="preserve">Risk: Interoperability with EPR systems (often siloed between acute, primary, community). Mitigation: Build on existing ICB shared care record architecture (e.g. FDP, Graphnet, Palantir depending on region); specify adherence data as a required feed in EPR procurement</w:t>
      </w:r>
    </w:p>
    <w:p>
      <w:pPr>
        <w:ind w:left="720"/>
        <w:spacing w:before="40" w:after="40"/>
      </w:pPr>
      <w:r>
        <w:rPr>
          <w:rFonts w:ascii="Arial" w:hAnsi="Arial" w:cs="Arial"/>
          <w:sz w:val="22"/>
          <w:sz-cs w:val="22"/>
          <w:b/>
        </w:rPr>
        <w:t xml:space="preserve"/>
        <w:tab/>
        <w:t xml:space="preserve">•</w:t>
        <w:tab/>
        <w:t xml:space="preserve">Risk: Clinical engagement — clinicians may not act on alerts. Mitigation: Co-design alert thresholds with clinical leads; integrate into existing medicines optimisation workflows</w:t>
      </w:r>
    </w:p>
    <w:p>
      <w:pPr>
        <w:ind w:left="720"/>
        <w:spacing w:before="40" w:after="40"/>
      </w:pPr>
      <w:r>
        <w:rPr>
          <w:rFonts w:ascii="Arial" w:hAnsi="Arial" w:cs="Arial"/>
          <w:sz w:val="22"/>
          <w:sz-cs w:val="22"/>
          <w:b/>
        </w:rPr>
        <w:t xml:space="preserve"/>
        <w:tab/>
        <w:t xml:space="preserve">•</w:t>
        <w:tab/>
        <w:t xml:space="preserve">Risk: Data quality — NHSBSA dispensing data shows script issued, not medicine taken. Mitigation: Layer in smart dispenser feeds and patient-reported data; frame as probabilistic risk signal, not definitive record</w:t>
      </w:r>
    </w:p>
    <w:p>
      <w:pPr>
        <w:spacing w:before="60" w:after="60"/>
      </w:pPr>
      <w:r>
        <w:rPr>
          <w:rFonts w:ascii="Times" w:hAnsi="Times" w:cs="Times"/>
          <w:sz w:val="24"/>
          <w:sz-cs w:val="24"/>
        </w:rPr>
        <w:t xml:space="preserve"/>
      </w:r>
    </w:p>
    <w:p>
      <w:pPr>
        <w:spacing w:after="60"/>
      </w:pPr>
      <w:r>
        <w:rPr>
          <w:rFonts w:ascii="Arial" w:hAnsi="Arial" w:cs="Arial"/>
          <w:sz w:val="22"/>
          <w:sz-cs w:val="22"/>
          <w:b/>
          <w:color w:val="2E6DA4"/>
        </w:rPr>
        <w:t xml:space="preserve">Strategic Rationale</w:t>
      </w:r>
    </w:p>
    <w:p>
      <w:pPr/>
      <w:r>
        <w:rPr>
          <w:rFonts w:ascii="Arial" w:hAnsi="Arial" w:cs="Arial"/>
          <w:sz w:val="22"/>
          <w:sz-cs w:val="22"/>
        </w:rPr>
        <w:t xml:space="preserve">This option has the lowest direct per-patient impact but the highest system-level leverage. It transforms the other two options from targeted programmes into a sustainable intelligence-driven service. The ILC UK report (2022) specifically called for investment in electronic health records as an adherence tool, noting that universal EPR access for patients and providers is a prerequisite for sustained adherence improvement at population scale.</w:t>
      </w:r>
    </w:p>
    <w:p>
      <w:pPr>
        <w:spacing w:before="60" w:after="60"/>
      </w:pPr>
      <w:r>
        <w:rPr>
          <w:rFonts w:ascii="Times" w:hAnsi="Times" w:cs="Times"/>
          <w:sz w:val="24"/>
          <w:sz-cs w:val="24"/>
        </w:rPr>
        <w:t xml:space="preserve"/>
      </w:r>
    </w:p>
    <w:p>
      <w:pPr>
        <w:spacing w:before="400" w:after="160"/>
      </w:pPr>
      <w:r>
        <w:rPr>
          <w:rFonts w:ascii="Arial" w:hAnsi="Arial" w:cs="Arial"/>
          <w:sz w:val="36"/>
          <w:sz-cs w:val="36"/>
          <w:b/>
          <w:color w:val="1A3A5C"/>
        </w:rPr>
        <w:t xml:space="preserve">Section 4: Comparative Summary and Recommendation</w:t>
      </w:r>
    </w:p>
    <w:p>
      <w:pPr/>
      <w:r>
        <w:rPr>
          <w:rFonts w:ascii="Arial" w:hAnsi="Arial" w:cs="Arial"/>
          <w:sz w:val="20"/>
          <w:sz-cs w:val="20"/>
          <w:b/>
          <w:color w:val="FFFFFF"/>
        </w:rPr>
        <w:t xml:space="preserve"/>
      </w:r>
    </w:p>
    <w:p>
      <w:pPr/>
      <w:r>
        <w:rPr>
          <w:rFonts w:ascii="Arial" w:hAnsi="Arial" w:cs="Arial"/>
          <w:sz w:val="20"/>
          <w:sz-cs w:val="20"/>
          <w:b/>
          <w:color w:val="FFFFFF"/>
        </w:rPr>
        <w:t xml:space="preserve">Option 1: Post-Discharge Digital Pharmacist Review</w:t>
      </w:r>
    </w:p>
    <w:p>
      <w:pPr/>
      <w:r>
        <w:rPr>
          <w:rFonts w:ascii="Arial" w:hAnsi="Arial" w:cs="Arial"/>
          <w:sz w:val="20"/>
          <w:sz-cs w:val="20"/>
          <w:b/>
          <w:color w:val="FFFFFF"/>
        </w:rPr>
        <w:t xml:space="preserve">Option 2: Connected Smart Dispensers</w:t>
      </w:r>
    </w:p>
    <w:p>
      <w:pPr/>
      <w:r>
        <w:rPr>
          <w:rFonts w:ascii="Arial" w:hAnsi="Arial" w:cs="Arial"/>
          <w:sz w:val="20"/>
          <w:sz-cs w:val="20"/>
          <w:b/>
          <w:color w:val="FFFFFF"/>
        </w:rPr>
        <w:t xml:space="preserve">Option 3: Adherence Monitoring in SCR/EPR</w:t>
      </w:r>
    </w:p>
    <w:p>
      <w:pPr/>
      <w:r>
        <w:rPr>
          <w:rFonts w:ascii="Arial" w:hAnsi="Arial" w:cs="Arial"/>
          <w:sz w:val="20"/>
          <w:sz-cs w:val="20"/>
        </w:rPr>
        <w:t xml:space="preserve">Primary saving</w:t>
      </w:r>
    </w:p>
    <w:p>
      <w:pPr/>
      <w:r>
        <w:rPr>
          <w:rFonts w:ascii="Arial" w:hAnsi="Arial" w:cs="Arial"/>
          <w:sz w:val="20"/>
          <w:sz-cs w:val="20"/>
        </w:rPr>
        <w:t xml:space="preserve">Acute readmissions (MRH post-discharge)</w:t>
      </w:r>
    </w:p>
    <w:p>
      <w:pPr/>
      <w:r>
        <w:rPr>
          <w:rFonts w:ascii="Arial" w:hAnsi="Arial" w:cs="Arial"/>
          <w:sz w:val="20"/>
          <w:sz-cs w:val="20"/>
        </w:rPr>
        <w:t xml:space="preserve">Acute readmissions (high-risk cohort)</w:t>
      </w:r>
    </w:p>
    <w:p>
      <w:pPr/>
      <w:r>
        <w:rPr>
          <w:rFonts w:ascii="Arial" w:hAnsi="Arial" w:cs="Arial"/>
          <w:sz w:val="20"/>
          <w:sz-cs w:val="20"/>
        </w:rPr>
        <w:t xml:space="preserve">All settings (enabling)</w:t>
      </w:r>
    </w:p>
    <w:p>
      <w:pPr/>
      <w:r>
        <w:rPr>
          <w:rFonts w:ascii="Arial" w:hAnsi="Arial" w:cs="Arial"/>
          <w:sz w:val="20"/>
          <w:sz-cs w:val="20"/>
        </w:rPr>
        <w:t xml:space="preserve">Evidence quality</w:t>
      </w:r>
    </w:p>
    <w:p>
      <w:pPr/>
      <w:r>
        <w:rPr>
          <w:rFonts w:ascii="Arial" w:hAnsi="Arial" w:cs="Arial"/>
          <w:sz w:val="20"/>
          <w:sz-cs w:val="20"/>
        </w:rPr>
        <w:t xml:space="preserve">High (published RCT)</w:t>
      </w:r>
    </w:p>
    <w:p>
      <w:pPr/>
      <w:r>
        <w:rPr>
          <w:rFonts w:ascii="Arial" w:hAnsi="Arial" w:cs="Arial"/>
          <w:sz w:val="20"/>
          <w:sz-cs w:val="20"/>
        </w:rPr>
        <w:t xml:space="preserve">Moderate (observational + pilot)</w:t>
      </w:r>
    </w:p>
    <w:p>
      <w:pPr/>
      <w:r>
        <w:rPr>
          <w:rFonts w:ascii="Arial" w:hAnsi="Arial" w:cs="Arial"/>
          <w:sz w:val="20"/>
          <w:sz-cs w:val="20"/>
        </w:rPr>
        <w:t xml:space="preserve">Emerging (enabling infrastructure)</w:t>
      </w:r>
    </w:p>
    <w:p>
      <w:pPr/>
      <w:r>
        <w:rPr>
          <w:rFonts w:ascii="Arial" w:hAnsi="Arial" w:cs="Arial"/>
          <w:sz w:val="20"/>
          <w:sz-cs w:val="20"/>
        </w:rPr>
        <w:t xml:space="preserve">Est. annual saving (England)</w:t>
      </w:r>
    </w:p>
    <w:p>
      <w:pPr/>
      <w:r>
        <w:rPr>
          <w:rFonts w:ascii="Arial" w:hAnsi="Arial" w:cs="Arial"/>
          <w:sz w:val="20"/>
          <w:sz-cs w:val="20"/>
        </w:rPr>
        <w:t xml:space="preserve">£35–50m (conservative)</w:t>
      </w:r>
    </w:p>
    <w:p>
      <w:pPr/>
      <w:r>
        <w:rPr>
          <w:rFonts w:ascii="Arial" w:hAnsi="Arial" w:cs="Arial"/>
          <w:sz w:val="20"/>
          <w:sz-cs w:val="20"/>
        </w:rPr>
        <w:t xml:space="preserve">£120–180m at scale</w:t>
      </w:r>
    </w:p>
    <w:p>
      <w:pPr/>
      <w:r>
        <w:rPr>
          <w:rFonts w:ascii="Arial" w:hAnsi="Arial" w:cs="Arial"/>
          <w:sz w:val="20"/>
          <w:sz-cs w:val="20"/>
        </w:rPr>
        <w:t xml:space="preserve">£40–80m (unlocked by targeting)</w:t>
      </w:r>
    </w:p>
    <w:p>
      <w:pPr/>
      <w:r>
        <w:rPr>
          <w:rFonts w:ascii="Arial" w:hAnsi="Arial" w:cs="Arial"/>
          <w:sz w:val="20"/>
          <w:sz-cs w:val="20"/>
        </w:rPr>
        <w:t xml:space="preserve">Est. investment per year</w:t>
      </w:r>
    </w:p>
    <w:p>
      <w:pPr/>
      <w:r>
        <w:rPr>
          <w:rFonts w:ascii="Arial" w:hAnsi="Arial" w:cs="Arial"/>
          <w:sz w:val="20"/>
          <w:sz-cs w:val="20"/>
        </w:rPr>
        <w:t xml:space="preserve">£54–78m at scale</w:t>
      </w:r>
    </w:p>
    <w:p>
      <w:pPr/>
      <w:r>
        <w:rPr>
          <w:rFonts w:ascii="Arial" w:hAnsi="Arial" w:cs="Arial"/>
          <w:sz w:val="20"/>
          <w:sz-cs w:val="20"/>
        </w:rPr>
        <w:t xml:space="preserve">£140–240m at scale</w:t>
      </w:r>
    </w:p>
    <w:p>
      <w:pPr/>
      <w:r>
        <w:rPr>
          <w:rFonts w:ascii="Arial" w:hAnsi="Arial" w:cs="Arial"/>
          <w:sz w:val="20"/>
          <w:sz-cs w:val="20"/>
        </w:rPr>
        <w:t xml:space="preserve">£2–5m (ICB level)</w:t>
      </w:r>
    </w:p>
    <w:p>
      <w:pPr/>
      <w:r>
        <w:rPr>
          <w:rFonts w:ascii="Arial" w:hAnsi="Arial" w:cs="Arial"/>
          <w:sz w:val="20"/>
          <w:sz-cs w:val="20"/>
        </w:rPr>
        <w:t xml:space="preserve">Breakeven horizon</w:t>
      </w:r>
    </w:p>
    <w:p>
      <w:pPr/>
      <w:r>
        <w:rPr>
          <w:rFonts w:ascii="Arial" w:hAnsi="Arial" w:cs="Arial"/>
          <w:sz w:val="20"/>
          <w:sz-cs w:val="20"/>
        </w:rPr>
        <w:t xml:space="preserve">3–5 years</w:t>
      </w:r>
    </w:p>
    <w:p>
      <w:pPr/>
      <w:r>
        <w:rPr>
          <w:rFonts w:ascii="Arial" w:hAnsi="Arial" w:cs="Arial"/>
          <w:sz w:val="20"/>
          <w:sz-cs w:val="20"/>
        </w:rPr>
        <w:t xml:space="preserve">2–4 years</w:t>
      </w:r>
    </w:p>
    <w:p>
      <w:pPr/>
      <w:r>
        <w:rPr>
          <w:rFonts w:ascii="Arial" w:hAnsi="Arial" w:cs="Arial"/>
          <w:sz w:val="20"/>
          <w:sz-cs w:val="20"/>
        </w:rPr>
        <w:t xml:space="preserve">1–3 years (low cost base)</w:t>
      </w:r>
    </w:p>
    <w:p>
      <w:pPr/>
      <w:r>
        <w:rPr>
          <w:rFonts w:ascii="Arial" w:hAnsi="Arial" w:cs="Arial"/>
          <w:sz w:val="20"/>
          <w:sz-cs w:val="20"/>
        </w:rPr>
        <w:t xml:space="preserve">Primary funder</w:t>
      </w:r>
    </w:p>
    <w:p>
      <w:pPr/>
      <w:r>
        <w:rPr>
          <w:rFonts w:ascii="Arial" w:hAnsi="Arial" w:cs="Arial"/>
          <w:sz w:val="20"/>
          <w:sz-cs w:val="20"/>
        </w:rPr>
        <w:t xml:space="preserve">ICB / community pharmacy</w:t>
      </w:r>
    </w:p>
    <w:p>
      <w:pPr/>
      <w:r>
        <w:rPr>
          <w:rFonts w:ascii="Arial" w:hAnsi="Arial" w:cs="Arial"/>
          <w:sz w:val="20"/>
          <w:sz-cs w:val="20"/>
        </w:rPr>
        <w:t xml:space="preserve">ICB + Local Authority</w:t>
      </w:r>
    </w:p>
    <w:p>
      <w:pPr/>
      <w:r>
        <w:rPr>
          <w:rFonts w:ascii="Arial" w:hAnsi="Arial" w:cs="Arial"/>
          <w:sz w:val="20"/>
          <w:sz-cs w:val="20"/>
        </w:rPr>
        <w:t xml:space="preserve">ICB</w:t>
      </w:r>
    </w:p>
    <w:p>
      <w:pPr/>
      <w:r>
        <w:rPr>
          <w:rFonts w:ascii="Arial" w:hAnsi="Arial" w:cs="Arial"/>
          <w:sz w:val="20"/>
          <w:sz-cs w:val="20"/>
        </w:rPr>
        <w:t xml:space="preserve">Primary beneficiary</w:t>
      </w:r>
    </w:p>
    <w:p>
      <w:pPr/>
      <w:r>
        <w:rPr>
          <w:rFonts w:ascii="Arial" w:hAnsi="Arial" w:cs="Arial"/>
          <w:sz w:val="20"/>
          <w:sz-cs w:val="20"/>
        </w:rPr>
        <w:t xml:space="preserve">Acute Trusts</w:t>
      </w:r>
    </w:p>
    <w:p>
      <w:pPr/>
      <w:r>
        <w:rPr>
          <w:rFonts w:ascii="Arial" w:hAnsi="Arial" w:cs="Arial"/>
          <w:sz w:val="20"/>
          <w:sz-cs w:val="20"/>
        </w:rPr>
        <w:t xml:space="preserve">Acute Trusts + Social Care</w:t>
      </w:r>
    </w:p>
    <w:p>
      <w:pPr/>
      <w:r>
        <w:rPr>
          <w:rFonts w:ascii="Arial" w:hAnsi="Arial" w:cs="Arial"/>
          <w:sz w:val="20"/>
          <w:sz-cs w:val="20"/>
        </w:rPr>
        <w:t xml:space="preserve">All NHS organisations</w:t>
      </w:r>
    </w:p>
    <w:p>
      <w:pPr/>
      <w:r>
        <w:rPr>
          <w:rFonts w:ascii="Arial" w:hAnsi="Arial" w:cs="Arial"/>
          <w:sz w:val="20"/>
          <w:sz-cs w:val="20"/>
        </w:rPr>
        <w:t xml:space="preserve">Digital equity risk</w:t>
      </w:r>
    </w:p>
    <w:p>
      <w:pPr/>
      <w:r>
        <w:rPr>
          <w:rFonts w:ascii="Arial" w:hAnsi="Arial" w:cs="Arial"/>
          <w:sz w:val="20"/>
          <w:sz-cs w:val="20"/>
        </w:rPr>
        <w:t xml:space="preserve">Medium (telephone fallback available)</w:t>
      </w:r>
    </w:p>
    <w:p>
      <w:pPr/>
      <w:r>
        <w:rPr>
          <w:rFonts w:ascii="Arial" w:hAnsi="Arial" w:cs="Arial"/>
          <w:sz w:val="20"/>
          <w:sz-cs w:val="20"/>
        </w:rPr>
        <w:t xml:space="preserve">Low (no broadband required)</w:t>
      </w:r>
    </w:p>
    <w:p>
      <w:pPr/>
      <w:r>
        <w:rPr>
          <w:rFonts w:ascii="Arial" w:hAnsi="Arial" w:cs="Arial"/>
          <w:sz w:val="20"/>
          <w:sz-cs w:val="20"/>
        </w:rPr>
        <w:t xml:space="preserve">Low (clinician-facing)</w:t>
      </w:r>
    </w:p>
    <w:p>
      <w:pPr/>
      <w:r>
        <w:rPr>
          <w:rFonts w:ascii="Arial" w:hAnsi="Arial" w:cs="Arial"/>
          <w:sz w:val="20"/>
          <w:sz-cs w:val="20"/>
        </w:rPr>
        <w:t xml:space="preserve">Implementation complexity</w:t>
      </w:r>
    </w:p>
    <w:p>
      <w:pPr/>
      <w:r>
        <w:rPr>
          <w:rFonts w:ascii="Arial" w:hAnsi="Arial" w:cs="Arial"/>
          <w:sz w:val="20"/>
          <w:sz-cs w:val="20"/>
        </w:rPr>
        <w:t xml:space="preserve">Medium</w:t>
      </w:r>
    </w:p>
    <w:p>
      <w:pPr/>
      <w:r>
        <w:rPr>
          <w:rFonts w:ascii="Arial" w:hAnsi="Arial" w:cs="Arial"/>
          <w:sz w:val="20"/>
          <w:sz-cs w:val="20"/>
        </w:rPr>
        <w:t xml:space="preserve">High (hardware, pharmacy load)</w:t>
      </w:r>
    </w:p>
    <w:p>
      <w:pPr/>
      <w:r>
        <w:rPr>
          <w:rFonts w:ascii="Arial" w:hAnsi="Arial" w:cs="Arial"/>
          <w:sz w:val="20"/>
          <w:sz-cs w:val="20"/>
        </w:rPr>
        <w:t xml:space="preserve">High (EPR integration)</w:t>
      </w:r>
    </w:p>
    <w:p>
      <w:pPr/>
      <w:r>
        <w:rPr>
          <w:rFonts w:ascii="Arial" w:hAnsi="Arial" w:cs="Arial"/>
          <w:sz w:val="20"/>
          <w:sz-cs w:val="20"/>
        </w:rPr>
        <w:t xml:space="preserve">Recommended priority</w:t>
      </w:r>
    </w:p>
    <w:p>
      <w:pPr/>
      <w:r>
        <w:rPr>
          <w:rFonts w:ascii="Arial" w:hAnsi="Arial" w:cs="Arial"/>
          <w:sz w:val="20"/>
          <w:sz-cs w:val="20"/>
        </w:rPr>
        <w:t xml:space="preserve">Immediate (evidence exists)</w:t>
      </w:r>
    </w:p>
    <w:p>
      <w:pPr/>
      <w:r>
        <w:rPr>
          <w:rFonts w:ascii="Arial" w:hAnsi="Arial" w:cs="Arial"/>
          <w:sz w:val="20"/>
          <w:sz-cs w:val="20"/>
        </w:rPr>
        <w:t xml:space="preserve">Near-term (pilot data Q4 2025)</w:t>
      </w:r>
    </w:p>
    <w:p>
      <w:pPr/>
      <w:r>
        <w:rPr>
          <w:rFonts w:ascii="Arial" w:hAnsi="Arial" w:cs="Arial"/>
          <w:sz w:val="20"/>
          <w:sz-cs w:val="20"/>
        </w:rPr>
        <w:t xml:space="preserve">Concurrent (foundational)</w:t>
      </w:r>
    </w:p>
    <w:p>
      <w:pPr>
        <w:spacing w:before="60" w:after="60"/>
      </w:pPr>
      <w:r>
        <w:rPr>
          <w:rFonts w:ascii="Times" w:hAnsi="Times" w:cs="Times"/>
          <w:sz w:val="24"/>
          <w:sz-cs w:val="24"/>
        </w:rPr>
        <w:t xml:space="preserve"/>
      </w:r>
    </w:p>
    <w:p>
      <w:pPr>
        <w:spacing w:before="280" w:after="120"/>
      </w:pPr>
      <w:r>
        <w:rPr>
          <w:rFonts w:ascii="Arial" w:hAnsi="Arial" w:cs="Arial"/>
          <w:sz w:val="28"/>
          <w:sz-cs w:val="28"/>
          <w:b/>
          <w:color w:val="2E6DA4"/>
        </w:rPr>
        <w:t xml:space="preserve">Recommendation</w:t>
      </w:r>
    </w:p>
    <w:p>
      <w:pPr>
        <w:spacing w:before="80" w:after="120"/>
      </w:pPr>
      <w:r>
        <w:rPr>
          <w:rFonts w:ascii="Arial" w:hAnsi="Arial" w:cs="Arial"/>
          <w:sz w:val="22"/>
          <w:sz-cs w:val="22"/>
        </w:rPr>
        <w:t xml:space="preserve">A portfolio approach is recommended. The three options are complementary rather than competing: Option 3 (integrated monitoring) enables both Options 1 and 2 to be targeted at the right patients, dramatically improving their cost-effectiveness. Option 1 should proceed first given the strength of existing evidence. Option 2 should be piloted with the high-risk cohort identified through Option 3 analytics, and scaled once Bristol ICB pilot data is available.</w:t>
      </w:r>
    </w:p>
    <w:p>
      <w:pPr>
        <w:spacing w:before="60" w:after="60"/>
      </w:pPr>
      <w:r>
        <w:rPr>
          <w:rFonts w:ascii="Times" w:hAnsi="Times" w:cs="Times"/>
          <w:sz w:val="24"/>
          <w:sz-cs w:val="24"/>
        </w:rPr>
        <w:t xml:space="preserve"/>
      </w:r>
    </w:p>
    <w:p>
      <w:pPr>
        <w:spacing w:before="80" w:after="120"/>
      </w:pPr>
      <w:r>
        <w:rPr>
          <w:rFonts w:ascii="Arial" w:hAnsi="Arial" w:cs="Arial"/>
          <w:sz w:val="22"/>
          <w:sz-cs w:val="22"/>
        </w:rPr>
        <w:t xml:space="preserve">An ICB investing in all three at modest initial scale — approximately £2–4 million over the first two years — could realistically model avoided costs of £15–25 million per annum within the ICB footprint, generating a positive return within three years and providing the system-level evidence base to make the case for national rollout.</w:t>
      </w:r>
    </w:p>
    <w:p>
      <w:pPr>
        <w:spacing w:before="60" w:after="60"/>
      </w:pPr>
      <w:r>
        <w:rPr>
          <w:rFonts w:ascii="Times" w:hAnsi="Times" w:cs="Times"/>
          <w:sz w:val="24"/>
          <w:sz-cs w:val="24"/>
        </w:rPr>
        <w:t xml:space="preserve"/>
      </w:r>
    </w:p>
    <w:p>
      <w:pPr>
        <w:spacing w:before="400" w:after="160"/>
      </w:pPr>
      <w:r>
        <w:rPr>
          <w:rFonts w:ascii="Arial" w:hAnsi="Arial" w:cs="Arial"/>
          <w:sz w:val="36"/>
          <w:sz-cs w:val="36"/>
          <w:b/>
          <w:color w:val="1A3A5C"/>
        </w:rPr>
        <w:t xml:space="preserve">Section 5: Key Evidence Sources</w:t>
      </w:r>
    </w:p>
    <w:p>
      <w:pPr>
        <w:spacing w:before="80" w:after="120"/>
      </w:pPr>
      <w:r>
        <w:rPr>
          <w:rFonts w:ascii="Arial" w:hAnsi="Arial" w:cs="Arial"/>
          <w:sz w:val="22"/>
          <w:sz-cs w:val="22"/>
        </w:rPr>
        <w:t xml:space="preserve">The following primary sources underpin the financial modelling and intervention evidence in this paper:</w:t>
      </w:r>
    </w:p>
    <w:p>
      <w:pPr>
        <w:spacing w:before="60" w:after="60"/>
      </w:pPr>
      <w:r>
        <w:rPr>
          <w:rFonts w:ascii="Times" w:hAnsi="Times" w:cs="Times"/>
          <w:sz w:val="24"/>
          <w:sz-cs w:val="24"/>
        </w:rPr>
        <w:t xml:space="preserve"/>
      </w:r>
    </w:p>
    <w:p>
      <w:pPr>
        <w:ind w:left="720"/>
        <w:spacing w:before="40" w:after="40"/>
      </w:pPr>
      <w:r>
        <w:rPr>
          <w:rFonts w:ascii="Arial" w:hAnsi="Arial" w:cs="Arial"/>
          <w:sz w:val="22"/>
          <w:sz-cs w:val="22"/>
          <w:b/>
        </w:rPr>
        <w:t xml:space="preserve"/>
        <w:tab/>
        <w:t xml:space="preserve">•</w:t>
        <w:tab/>
        <w:t xml:space="preserve">Medication-related harm in older adults post-discharge: PMC / British Journal of Clinical Pharmacology (2018). Five NHS teaching hospitals, Southern England. Cost estimate £396m, 90%+ attributable to readmissions.</w:t>
      </w:r>
    </w:p>
    <w:p>
      <w:pPr>
        <w:ind w:left="720"/>
        <w:spacing w:before="40" w:after="40"/>
      </w:pPr>
      <w:r>
        <w:rPr>
          <w:rFonts w:ascii="Arial" w:hAnsi="Arial" w:cs="Arial"/>
          <w:sz w:val="22"/>
          <w:sz-cs w:val="22"/>
          <w:b/>
        </w:rPr>
        <w:t xml:space="preserve"/>
        <w:tab/>
        <w:t xml:space="preserve">•</w:t>
        <w:tab/>
        <w:t xml:space="preserve">New Medicine Service RCT: Elliott et al., PharmacoEconomics (2017). Universities of Manchester, Nottingham, UCL. 10% adherence improvement; modelled £517.6m five-year saving; short-term £75.4m.</w:t>
      </w:r>
    </w:p>
    <w:p>
      <w:pPr>
        <w:ind w:left="720"/>
        <w:spacing w:before="40" w:after="40"/>
      </w:pPr>
      <w:r>
        <w:rPr>
          <w:rFonts w:ascii="Arial" w:hAnsi="Arial" w:cs="Arial"/>
          <w:sz w:val="22"/>
          <w:sz-cs w:val="22"/>
          <w:b/>
        </w:rPr>
        <w:t xml:space="preserve"/>
        <w:tab/>
        <w:t xml:space="preserve">•</w:t>
        <w:tab/>
        <w:t xml:space="preserve">Non-adherence cost in five conditions: NICE costing report; iPLATO/Health Foundation summary. £930 million annual cost estimate, £500m potential saving from improved adherence.</w:t>
      </w:r>
    </w:p>
    <w:p>
      <w:pPr>
        <w:ind w:left="720"/>
        <w:spacing w:before="40" w:after="40"/>
      </w:pPr>
      <w:r>
        <w:rPr>
          <w:rFonts w:ascii="Arial" w:hAnsi="Arial" w:cs="Arial"/>
          <w:sz w:val="22"/>
          <w:sz-cs w:val="22"/>
          <w:b/>
        </w:rPr>
        <w:t xml:space="preserve"/>
        <w:tab/>
        <w:t xml:space="preserve">•</w:t>
        <w:tab/>
        <w:t xml:space="preserve">Aston Medication Adherence Study (AMAS): Aston Pharmacy School. £500m+ annual NHS cost; 25–33% non-adherence rate across long-term conditions.</w:t>
      </w:r>
    </w:p>
    <w:p>
      <w:pPr>
        <w:ind w:left="720"/>
        <w:spacing w:before="40" w:after="40"/>
      </w:pPr>
      <w:r>
        <w:rPr>
          <w:rFonts w:ascii="Arial" w:hAnsi="Arial" w:cs="Arial"/>
          <w:sz w:val="22"/>
          <w:sz-cs w:val="22"/>
          <w:b/>
        </w:rPr>
        <w:t xml:space="preserve"/>
        <w:tab/>
        <w:t xml:space="preserve">•</w:t>
        <w:tab/>
        <w:t xml:space="preserve">Smart medication dispensers: JMIR Formative Research (2022); JMIR Aging (2023 scoping review). Adherence rates 93–97% in dispenser-using populations.</w:t>
      </w:r>
    </w:p>
    <w:p>
      <w:pPr>
        <w:ind w:left="720"/>
        <w:spacing w:before="40" w:after="40"/>
      </w:pPr>
      <w:r>
        <w:rPr>
          <w:rFonts w:ascii="Arial" w:hAnsi="Arial" w:cs="Arial"/>
          <w:sz w:val="22"/>
          <w:sz-cs w:val="22"/>
          <w:b/>
        </w:rPr>
        <w:t xml:space="preserve"/>
        <w:tab/>
        <w:t xml:space="preserve">•</w:t>
        <w:tab/>
        <w:t xml:space="preserve">Digital intervention evidence: Frontiers in Pharmacology narrative review (2025). Mixed evidence for standalone SMS/apps; stronger evidence for tailored, multi-modal interventions with clinician interaction.</w:t>
      </w:r>
    </w:p>
    <w:p>
      <w:pPr>
        <w:ind w:left="720"/>
        <w:spacing w:before="40" w:after="40"/>
      </w:pPr>
      <w:r>
        <w:rPr>
          <w:rFonts w:ascii="Arial" w:hAnsi="Arial" w:cs="Arial"/>
          <w:sz w:val="22"/>
          <w:sz-cs w:val="22"/>
          <w:b/>
        </w:rPr>
        <w:t xml:space="preserve"/>
        <w:tab/>
        <w:t xml:space="preserve">•</w:t>
        <w:tab/>
        <w:t xml:space="preserve">ILC UK 'Doctor's Orders' report (2022): £125 billion annual European cost of non-adherence; calls for EPR investment and annual medication reviews.</w:t>
      </w:r>
    </w:p>
    <w:p>
      <w:pPr>
        <w:ind w:left="720"/>
        <w:spacing w:before="40" w:after="40"/>
      </w:pPr>
      <w:r>
        <w:rPr>
          <w:rFonts w:ascii="Arial" w:hAnsi="Arial" w:cs="Arial"/>
          <w:sz w:val="22"/>
          <w:sz-cs w:val="22"/>
          <w:b/>
        </w:rPr>
        <w:t xml:space="preserve"/>
        <w:tab/>
        <w:t xml:space="preserve">•</w:t>
        <w:tab/>
        <w:t xml:space="preserve">NHS Bristol, North Somerset and South Gloucestershire ICB PMSS Pilot: Health Foundation Tech for Better Care programme (January–December 2025). Emerging UK system-level evidence for connected dispenser + personalised digital support model.</w:t>
      </w:r>
    </w:p>
    <w:p>
      <w:pPr>
        <w:spacing w:before="60" w:after="60"/>
      </w:pPr>
      <w:r>
        <w:rPr>
          <w:rFonts w:ascii="Times" w:hAnsi="Times" w:cs="Times"/>
          <w:sz w:val="24"/>
          <w:sz-cs w:val="24"/>
        </w:rPr>
        <w:t xml:space="preserve"/>
      </w:r>
    </w:p>
    <w:p>
      <w:pPr>
        <w:spacing w:before="400" w:after="80"/>
      </w:pPr>
      <w:r>
        <w:rPr>
          <w:rFonts w:ascii="Arial" w:hAnsi="Arial" w:cs="Arial"/>
          <w:sz w:val="20"/>
          <w:sz-cs w:val="20"/>
          <w:b/>
          <w:color w:val="555555"/>
        </w:rPr>
        <w:t xml:space="preserve">Note on Evidence Limitations</w:t>
      </w:r>
    </w:p>
    <w:p>
      <w:pPr>
        <w:spacing w:after="80"/>
      </w:pPr>
      <w:r>
        <w:rPr>
          <w:rFonts w:ascii="Arial" w:hAnsi="Arial" w:cs="Arial"/>
          <w:sz w:val="20"/>
          <w:sz-cs w:val="20"/>
          <w:i/>
          <w:color w:val="555555"/>
        </w:rPr>
        <w:t xml:space="preserve">Cost estimates in this paper derive from studies with different methodologies, populations, and baseline years. They should be treated as directional rather than precise. Local modelling using ICB-specific population data, dispensing records (NHSBSA), and hospital activity data is recommended before finalising investment decisions. Where possible, build investment cases on avoided cost per avoided admission using locally agreed NHS Payment Scheme tariffs.</w:t>
      </w:r>
    </w:p>
    <w:sectPr>
      <w:pgSz w:w="11900" w:h="16840"/>
      <w:pgMar w:top="1440" w:right="1260" w:bottom="126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CocoaOOXMLWriter/2685.2</generator>
</meta>
</file>