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6E"/>
          <w:sz w:val="64"/>
        </w:rPr>
        <w:t>EPA Project</w:t>
      </w:r>
    </w:p>
    <w:p>
      <w:pPr>
        <w:jc w:val="center"/>
      </w:pPr>
      <w:r>
        <w:rPr>
          <w:color w:val="1A3C6E"/>
          <w:sz w:val="40"/>
        </w:rPr>
        <w:t>Comprehensive Analysis Report</w:t>
      </w:r>
    </w:p>
    <w:p/>
    <w:p>
      <w:pPr>
        <w:jc w:val="center"/>
      </w:pPr>
      <w:r>
        <w:rPr>
          <w:i/>
          <w:sz w:val="28"/>
        </w:rPr>
        <w:t>Análisis del Mercado Laboral Español</w:t>
      </w:r>
    </w:p>
    <w:p>
      <w:pPr>
        <w:jc w:val="center"/>
      </w:pPr>
      <w:r>
        <w:rPr>
          <w:sz w:val="28"/>
        </w:rPr>
        <w:t>Encuesta de Población Activa (EPA) — 2002–2025</w:t>
      </w:r>
    </w:p>
    <w:p/>
    <w:p/>
    <w:p/>
    <w:p>
      <w:pPr>
        <w:jc w:val="center"/>
      </w:pPr>
      <w:r>
        <w:rPr>
          <w:b/>
          <w:sz w:val="22"/>
        </w:rPr>
        <w:t xml:space="preserve">Data Source: </w:t>
      </w:r>
      <w:r>
        <w:rPr>
          <w:sz w:val="22"/>
        </w:rPr>
        <w:t>Instituto Nacional de Estadística (INE) API</w:t>
      </w:r>
    </w:p>
    <w:p>
      <w:pPr>
        <w:jc w:val="center"/>
      </w:pPr>
      <w:r>
        <w:rPr>
          <w:b/>
          <w:sz w:val="22"/>
        </w:rPr>
        <w:t xml:space="preserve">Period Analysed: </w:t>
      </w:r>
      <w:r>
        <w:rPr>
          <w:sz w:val="22"/>
        </w:rPr>
        <w:t>2002–2025 (96 quarters)</w:t>
      </w:r>
    </w:p>
    <w:p>
      <w:pPr>
        <w:jc w:val="center"/>
      </w:pPr>
      <w:r>
        <w:rPr>
          <w:b/>
          <w:sz w:val="22"/>
        </w:rPr>
        <w:t xml:space="preserve">Report Date: </w:t>
      </w:r>
      <w:r>
        <w:rPr>
          <w:sz w:val="22"/>
        </w:rPr>
        <w:t>2026-02-22</w:t>
      </w:r>
    </w:p>
    <w:p>
      <w:pPr>
        <w:jc w:val="center"/>
      </w:pPr>
      <w:r>
        <w:rPr>
          <w:b/>
          <w:sz w:val="22"/>
        </w:rPr>
        <w:t xml:space="preserve">Primary Artifact: </w:t>
      </w:r>
      <w:r>
        <w:rPr>
          <w:sz w:val="22"/>
        </w:rPr>
        <w:t>notebooks/eda.ipynb</w:t>
      </w:r>
    </w:p>
    <w:p>
      <w:r>
        <w:br w:type="page"/>
      </w:r>
    </w:p>
    <w:p>
      <w:pPr>
        <w:pStyle w:val="Heading2"/>
      </w:pPr>
      <w:r>
        <w:t>1. Introduction and Purpose</w:t>
      </w:r>
    </w:p>
    <w:p>
      <w:r>
        <w:t xml:space="preserve">This report presents an exploratory data analysis (EDA) of the Spanish labour market over the period 2002–2025 (96 quarters), using official open data published by the Instituto Nacional de Estadística (INE) through its </w:t>
      </w:r>
      <w:r>
        <w:rPr>
          <w:i/>
        </w:rPr>
        <w:t>Encuesta de Población Activa</w:t>
      </w:r>
      <w:r>
        <w:t xml:space="preserve"> (EPA) — Spain's quarterly Labour Force Survey, the reference survey for employment statistics in the country.</w:t>
      </w:r>
    </w:p>
    <w:p>
      <w:r>
        <w:t>The project is a self-contained, end-to-end data analysis pipeline that downloads, cleans, enriches, and visualises Spanish labour-market microdata. The primary deliverable is an interactive Jupyter notebook (</w:t>
      </w:r>
      <w:r>
        <w:rPr>
          <w:rFonts w:ascii="Consolas" w:hAnsi="Consolas"/>
          <w:color w:val="800000"/>
          <w:sz w:val="19"/>
        </w:rPr>
        <w:t>eda.ipynb</w:t>
      </w:r>
      <w:r>
        <w:t xml:space="preserve">) that walks through eight research questions about territorial inequality, gender gaps, sectoral composition, and the differential impact of age and nationality on unemployment. All intermediate artefacts (a cleaned CSV, nine publication-ready charts, and this report) are generated programmatically from that notebook or from </w:t>
      </w:r>
      <w:r>
        <w:rPr>
          <w:rFonts w:ascii="Consolas" w:hAnsi="Consolas"/>
          <w:color w:val="800000"/>
          <w:sz w:val="19"/>
        </w:rPr>
        <w:t>main.py</w:t>
      </w:r>
      <w:r>
        <w:t>.</w:t>
      </w:r>
    </w:p>
    <w:p>
      <w:r>
        <w:t>The 2002–2025 period captures the full arc of the modern Spanish labour market: the construction-fuelled expansion (2002–2007), the devastating Great Recession and housing bubble collapse (2008–2013), the slow structural recovery (2014–2019), the COVID-19 pandemic shock (2020), and the subsequent record-breaking employment rebound (2021–2025). This 24-year window provides a rich backdrop to assess which labour-market patterns are structural (persistent across cycles) and which are cyclical (sensitive to macroeconomic shocks).</w:t>
      </w:r>
    </w:p>
    <w:p>
      <w:r>
        <w:rPr>
          <w:b/>
        </w:rPr>
        <w:t>The objectives of this study are:</w:t>
      </w:r>
    </w:p>
    <w:p>
      <w:pPr>
        <w:pStyle w:val="ListBullet"/>
      </w:pPr>
      <w:r>
        <w:t>Identify the provinces and autonomous communities with the highest and lowest unemployment rates, and assess whether the territorial ranking has changed over the 24-year period.</w:t>
      </w:r>
    </w:p>
    <w:p>
      <w:pPr>
        <w:pStyle w:val="ListBullet"/>
      </w:pPr>
      <w:r>
        <w:t>Quantify the gender gap in unemployment and examine its evolution through multiple economic cycles.</w:t>
      </w:r>
    </w:p>
    <w:p>
      <w:pPr>
        <w:pStyle w:val="ListBullet"/>
      </w:pPr>
      <w:r>
        <w:t>Analyze the distribution of employment across economic sectors (agriculture, industry, construction, services) and its geographic variation, including the construction sector's boom and collapse.</w:t>
      </w:r>
    </w:p>
    <w:p>
      <w:pPr>
        <w:pStyle w:val="ListBullet"/>
      </w:pPr>
      <w:r>
        <w:t>Measure the impact of the 2008 financial crisis and the 2020 economic shock on total employment and assess the completeness of both recoveries.</w:t>
      </w:r>
    </w:p>
    <w:p>
      <w:pPr>
        <w:pStyle w:val="ListBullet"/>
      </w:pPr>
      <w:r>
        <w:t>Detect seasonal patterns in employment and unemployment at the quarterly level.</w:t>
      </w:r>
    </w:p>
    <w:p>
      <w:pPr>
        <w:pStyle w:val="ListBullet"/>
      </w:pPr>
      <w:r>
        <w:t>Characterise unemployment differentials by age group, sex, and nationality across two decades.</w:t>
      </w:r>
    </w:p>
    <w:p>
      <w:r>
        <w:t>Beyond answering these questions, this project serves as a demonstration of a reproducible data science pipeline — from raw API ingestion through cleaning, feature engineering, visualization, and modular code organization — using real-world, messy public data.</w:t>
      </w:r>
    </w:p>
    <w:p>
      <w:pPr>
        <w:pStyle w:val="Heading2"/>
      </w:pPr>
      <w:r>
        <w:t>2. Folder Structure</w:t>
      </w:r>
    </w:p>
    <w:p>
      <w:pPr>
        <w:spacing w:before="120" w:after="120"/>
      </w:pPr>
      <w:r>
        <w:rPr>
          <w:rFonts w:ascii="Consolas" w:hAnsi="Consolas"/>
          <w:color w:val="333333"/>
          <w:sz w:val="18"/>
        </w:rPr>
        <w:t>epa_project/</w:t>
        <w:br/>
        <w:t>├── main.py               # CLI orchestrator — runs the full pipeline</w:t>
        <w:br/>
        <w:t>├── fetch_data.py         # Downloads data from INE API</w:t>
        <w:br/>
        <w:t>├── requirements.txt      # Python dependencies</w:t>
        <w:br/>
        <w:t>├── README.md</w:t>
        <w:br/>
        <w:t>├── src/</w:t>
        <w:br/>
        <w:t>│   ├── io.py             # CSV loader</w:t>
        <w:br/>
        <w:t>│   ├── cleaning.py       # 8-step cleaning pipeline</w:t>
        <w:br/>
        <w:t>│   ├── features.py       # Feature engineering</w:t>
        <w:br/>
        <w:t>│   ├── utils.py          # Validation assertions</w:t>
        <w:br/>
        <w:t>│   └── viz.py            # 9 chart generators</w:t>
        <w:br/>
        <w:t>├── data/</w:t>
        <w:br/>
        <w:t>│   ├── raw/              # 6 JSON files + dirty CSV + clean raw CSV</w:t>
        <w:br/>
        <w:t>│   └── processed/        # Final clean CSV (156,456 rows × 17 cols)</w:t>
        <w:br/>
        <w:t>├── notebooks/</w:t>
        <w:br/>
        <w:t>│   ├── eda.ipynb         # Main interactive notebook</w:t>
        <w:br/>
        <w:t>│   └── eda_executed.ipynb</w:t>
        <w:br/>
        <w:t>└── charts/               # 9 PNG visualisations</w:t>
      </w:r>
    </w:p>
    <w:p>
      <w:pPr>
        <w:pStyle w:val="Heading2"/>
      </w:pPr>
      <w:r>
        <w:t>3. Dataset Description</w:t>
      </w:r>
    </w:p>
    <w:p>
      <w:r>
        <w:t>The data was obtained from the INE public REST API (</w:t>
      </w:r>
      <w:r>
        <w:rPr>
          <w:rFonts w:ascii="Consolas" w:hAnsi="Consolas"/>
          <w:color w:val="800000"/>
          <w:sz w:val="19"/>
        </w:rPr>
        <w:t>servicios.ine.es/wstempus/js</w:t>
      </w:r>
      <w:r>
        <w:t>), which provides free, unauthenticated access to all statistical data published by the Instituto Nacional de Estadística. Six EPA tables were downloaded:</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pPr>
              <w:spacing w:after="40"/>
            </w:pPr>
            <w:r/>
            <w:r>
              <w:rPr>
                <w:rFonts w:ascii="Calibri" w:hAnsi="Calibri"/>
                <w:b/>
                <w:sz w:val="19"/>
              </w:rPr>
              <w:t>Table ID</w:t>
            </w:r>
          </w:p>
        </w:tc>
        <w:tc>
          <w:tcPr>
            <w:tcW w:type="dxa" w:w="3024"/>
          </w:tcPr>
          <w:p>
            <w:pPr>
              <w:spacing w:after="40"/>
            </w:pPr>
            <w:r/>
            <w:r>
              <w:rPr>
                <w:rFonts w:ascii="Calibri" w:hAnsi="Calibri"/>
                <w:b/>
                <w:sz w:val="19"/>
              </w:rPr>
              <w:t>Content</w:t>
            </w:r>
          </w:p>
        </w:tc>
        <w:tc>
          <w:tcPr>
            <w:tcW w:type="dxa" w:w="3024"/>
          </w:tcPr>
          <w:p>
            <w:pPr>
              <w:spacing w:after="40"/>
            </w:pPr>
            <w:r/>
            <w:r>
              <w:rPr>
                <w:rFonts w:ascii="Calibri" w:hAnsi="Calibri"/>
                <w:b/>
                <w:sz w:val="19"/>
              </w:rPr>
              <w:t>Use</w:t>
            </w:r>
          </w:p>
        </w:tc>
      </w:tr>
      <w:tr>
        <w:tc>
          <w:tcPr>
            <w:tcW w:type="dxa" w:w="3024"/>
          </w:tcPr>
          <w:p>
            <w:pPr>
              <w:spacing w:after="40"/>
            </w:pPr>
            <w:r>
              <w:rPr>
                <w:rFonts w:ascii="Calibri" w:hAnsi="Calibri"/>
                <w:sz w:val="19"/>
              </w:rPr>
            </w:r>
            <w:r>
              <w:rPr>
                <w:rFonts w:ascii="Calibri" w:hAnsi="Calibri"/>
                <w:sz w:val="19"/>
              </w:rPr>
              <w:t>65345</w:t>
            </w:r>
          </w:p>
        </w:tc>
        <w:tc>
          <w:tcPr>
            <w:tcW w:type="dxa" w:w="3024"/>
          </w:tcPr>
          <w:p>
            <w:pPr>
              <w:spacing w:after="40"/>
            </w:pPr>
            <w:r>
              <w:rPr>
                <w:rFonts w:ascii="Calibri" w:hAnsi="Calibri"/>
                <w:sz w:val="19"/>
              </w:rPr>
            </w:r>
            <w:r>
              <w:rPr>
                <w:rFonts w:ascii="Calibri" w:hAnsi="Calibri"/>
                <w:sz w:val="19"/>
              </w:rPr>
              <w:t>Population 16+ by activity, sex, and province — absolute figures (thousands of persons)</w:t>
            </w:r>
          </w:p>
        </w:tc>
        <w:tc>
          <w:tcPr>
            <w:tcW w:type="dxa" w:w="3024"/>
          </w:tcPr>
          <w:p>
            <w:pPr>
              <w:spacing w:after="40"/>
            </w:pPr>
            <w:r>
              <w:rPr>
                <w:rFonts w:ascii="Calibri" w:hAnsi="Calibri"/>
                <w:sz w:val="19"/>
              </w:rPr>
            </w:r>
            <w:r>
              <w:rPr>
                <w:rFonts w:ascii="Calibri" w:hAnsi="Calibri"/>
                <w:sz w:val="19"/>
              </w:rPr>
              <w:t>Main CSV → Charts 1–6</w:t>
            </w:r>
          </w:p>
        </w:tc>
      </w:tr>
      <w:tr>
        <w:tc>
          <w:tcPr>
            <w:tcW w:type="dxa" w:w="3024"/>
          </w:tcPr>
          <w:p>
            <w:pPr>
              <w:spacing w:after="40"/>
            </w:pPr>
            <w:r>
              <w:rPr>
                <w:rFonts w:ascii="Calibri" w:hAnsi="Calibri"/>
                <w:sz w:val="19"/>
              </w:rPr>
            </w:r>
            <w:r>
              <w:rPr>
                <w:rFonts w:ascii="Calibri" w:hAnsi="Calibri"/>
                <w:sz w:val="19"/>
              </w:rPr>
              <w:t>65349</w:t>
            </w:r>
          </w:p>
        </w:tc>
        <w:tc>
          <w:tcPr>
            <w:tcW w:type="dxa" w:w="3024"/>
          </w:tcPr>
          <w:p>
            <w:pPr>
              <w:spacing w:after="40"/>
            </w:pPr>
            <w:r>
              <w:rPr>
                <w:rFonts w:ascii="Calibri" w:hAnsi="Calibri"/>
                <w:sz w:val="19"/>
              </w:rPr>
            </w:r>
            <w:r>
              <w:rPr>
                <w:rFonts w:ascii="Calibri" w:hAnsi="Calibri"/>
                <w:sz w:val="19"/>
              </w:rPr>
              <w:t>Activity / unemployment / employment rates by province and sex</w:t>
            </w:r>
          </w:p>
        </w:tc>
        <w:tc>
          <w:tcPr>
            <w:tcW w:type="dxa" w:w="3024"/>
          </w:tcPr>
          <w:p>
            <w:pPr>
              <w:spacing w:after="40"/>
            </w:pPr>
            <w:r>
              <w:rPr>
                <w:rFonts w:ascii="Calibri" w:hAnsi="Calibri"/>
                <w:sz w:val="19"/>
              </w:rPr>
            </w:r>
            <w:r>
              <w:rPr>
                <w:rFonts w:ascii="Calibri" w:hAnsi="Calibri"/>
                <w:sz w:val="19"/>
              </w:rPr>
              <w:t>Main CSV → Charts 1–6</w:t>
            </w:r>
          </w:p>
        </w:tc>
      </w:tr>
      <w:tr>
        <w:tc>
          <w:tcPr>
            <w:tcW w:type="dxa" w:w="3024"/>
          </w:tcPr>
          <w:p>
            <w:pPr>
              <w:spacing w:after="40"/>
            </w:pPr>
            <w:r>
              <w:rPr>
                <w:rFonts w:ascii="Calibri" w:hAnsi="Calibri"/>
                <w:sz w:val="19"/>
              </w:rPr>
            </w:r>
            <w:r>
              <w:rPr>
                <w:rFonts w:ascii="Calibri" w:hAnsi="Calibri"/>
                <w:sz w:val="19"/>
              </w:rPr>
              <w:t>65354</w:t>
            </w:r>
          </w:p>
        </w:tc>
        <w:tc>
          <w:tcPr>
            <w:tcW w:type="dxa" w:w="3024"/>
          </w:tcPr>
          <w:p>
            <w:pPr>
              <w:spacing w:after="40"/>
            </w:pPr>
            <w:r>
              <w:rPr>
                <w:rFonts w:ascii="Calibri" w:hAnsi="Calibri"/>
                <w:sz w:val="19"/>
              </w:rPr>
            </w:r>
            <w:r>
              <w:rPr>
                <w:rFonts w:ascii="Calibri" w:hAnsi="Calibri"/>
                <w:sz w:val="19"/>
              </w:rPr>
              <w:t>Employed persons by economic sector (CNAE) and province</w:t>
            </w:r>
          </w:p>
        </w:tc>
        <w:tc>
          <w:tcPr>
            <w:tcW w:type="dxa" w:w="3024"/>
          </w:tcPr>
          <w:p>
            <w:pPr>
              <w:spacing w:after="40"/>
            </w:pPr>
            <w:r>
              <w:rPr>
                <w:rFonts w:ascii="Calibri" w:hAnsi="Calibri"/>
                <w:sz w:val="19"/>
              </w:rPr>
            </w:r>
            <w:r>
              <w:rPr>
                <w:rFonts w:ascii="Calibri" w:hAnsi="Calibri"/>
                <w:sz w:val="19"/>
              </w:rPr>
              <w:t>Main CSV → Charts 1–6</w:t>
            </w:r>
          </w:p>
        </w:tc>
      </w:tr>
      <w:tr>
        <w:tc>
          <w:tcPr>
            <w:tcW w:type="dxa" w:w="3024"/>
          </w:tcPr>
          <w:p>
            <w:pPr>
              <w:spacing w:after="40"/>
            </w:pPr>
            <w:r>
              <w:rPr>
                <w:rFonts w:ascii="Calibri" w:hAnsi="Calibri"/>
                <w:sz w:val="19"/>
              </w:rPr>
            </w:r>
            <w:r>
              <w:rPr>
                <w:rFonts w:ascii="Calibri" w:hAnsi="Calibri"/>
                <w:sz w:val="19"/>
              </w:rPr>
              <w:t>65219</w:t>
            </w:r>
          </w:p>
        </w:tc>
        <w:tc>
          <w:tcPr>
            <w:tcW w:type="dxa" w:w="3024"/>
          </w:tcPr>
          <w:p>
            <w:pPr>
              <w:spacing w:after="40"/>
            </w:pPr>
            <w:r>
              <w:rPr>
                <w:rFonts w:ascii="Calibri" w:hAnsi="Calibri"/>
                <w:sz w:val="19"/>
              </w:rPr>
            </w:r>
            <w:r>
              <w:rPr>
                <w:rFonts w:ascii="Calibri" w:hAnsi="Calibri"/>
                <w:sz w:val="19"/>
              </w:rPr>
              <w:t>Unemployment rates by sex and age group</w:t>
            </w:r>
          </w:p>
        </w:tc>
        <w:tc>
          <w:tcPr>
            <w:tcW w:type="dxa" w:w="3024"/>
          </w:tcPr>
          <w:p>
            <w:pPr>
              <w:spacing w:after="40"/>
            </w:pPr>
            <w:r>
              <w:rPr>
                <w:rFonts w:ascii="Calibri" w:hAnsi="Calibri"/>
                <w:sz w:val="19"/>
              </w:rPr>
            </w:r>
            <w:r>
              <w:rPr>
                <w:rFonts w:ascii="Calibri" w:hAnsi="Calibri"/>
                <w:sz w:val="19"/>
              </w:rPr>
              <w:t>JSON → Charts 7–8</w:t>
            </w:r>
          </w:p>
        </w:tc>
      </w:tr>
      <w:tr>
        <w:tc>
          <w:tcPr>
            <w:tcW w:type="dxa" w:w="3024"/>
          </w:tcPr>
          <w:p>
            <w:pPr>
              <w:spacing w:after="40"/>
            </w:pPr>
            <w:r>
              <w:rPr>
                <w:rFonts w:ascii="Calibri" w:hAnsi="Calibri"/>
                <w:sz w:val="19"/>
              </w:rPr>
            </w:r>
            <w:r>
              <w:rPr>
                <w:rFonts w:ascii="Calibri" w:hAnsi="Calibri"/>
                <w:sz w:val="19"/>
              </w:rPr>
              <w:t>65086</w:t>
            </w:r>
          </w:p>
        </w:tc>
        <w:tc>
          <w:tcPr>
            <w:tcW w:type="dxa" w:w="3024"/>
          </w:tcPr>
          <w:p>
            <w:pPr>
              <w:spacing w:after="40"/>
            </w:pPr>
            <w:r>
              <w:rPr>
                <w:rFonts w:ascii="Calibri" w:hAnsi="Calibri"/>
                <w:sz w:val="19"/>
              </w:rPr>
            </w:r>
            <w:r>
              <w:rPr>
                <w:rFonts w:ascii="Calibri" w:hAnsi="Calibri"/>
                <w:sz w:val="19"/>
              </w:rPr>
              <w:t>Active population by nationality, sex, and age group</w:t>
            </w:r>
          </w:p>
        </w:tc>
        <w:tc>
          <w:tcPr>
            <w:tcW w:type="dxa" w:w="3024"/>
          </w:tcPr>
          <w:p>
            <w:pPr>
              <w:spacing w:after="40"/>
            </w:pPr>
            <w:r>
              <w:rPr>
                <w:rFonts w:ascii="Calibri" w:hAnsi="Calibri"/>
                <w:sz w:val="19"/>
              </w:rPr>
            </w:r>
            <w:r>
              <w:rPr>
                <w:rFonts w:ascii="Calibri" w:hAnsi="Calibri"/>
                <w:sz w:val="19"/>
              </w:rPr>
              <w:t>JSON → Chart 9 (merge)</w:t>
            </w:r>
          </w:p>
        </w:tc>
      </w:tr>
      <w:tr>
        <w:tc>
          <w:tcPr>
            <w:tcW w:type="dxa" w:w="3024"/>
          </w:tcPr>
          <w:p>
            <w:pPr>
              <w:spacing w:after="40"/>
            </w:pPr>
            <w:r>
              <w:rPr>
                <w:rFonts w:ascii="Calibri" w:hAnsi="Calibri"/>
                <w:sz w:val="19"/>
              </w:rPr>
            </w:r>
            <w:r>
              <w:rPr>
                <w:rFonts w:ascii="Calibri" w:hAnsi="Calibri"/>
                <w:sz w:val="19"/>
              </w:rPr>
              <w:t>65112</w:t>
            </w:r>
          </w:p>
        </w:tc>
        <w:tc>
          <w:tcPr>
            <w:tcW w:type="dxa" w:w="3024"/>
          </w:tcPr>
          <w:p>
            <w:pPr>
              <w:spacing w:after="40"/>
            </w:pPr>
            <w:r>
              <w:rPr>
                <w:rFonts w:ascii="Calibri" w:hAnsi="Calibri"/>
                <w:sz w:val="19"/>
              </w:rPr>
            </w:r>
            <w:r>
              <w:rPr>
                <w:rFonts w:ascii="Calibri" w:hAnsi="Calibri"/>
                <w:sz w:val="19"/>
              </w:rPr>
              <w:t>Employed population by nationality, sex, and age group</w:t>
            </w:r>
          </w:p>
        </w:tc>
        <w:tc>
          <w:tcPr>
            <w:tcW w:type="dxa" w:w="3024"/>
          </w:tcPr>
          <w:p>
            <w:pPr>
              <w:spacing w:after="40"/>
            </w:pPr>
            <w:r>
              <w:rPr>
                <w:rFonts w:ascii="Calibri" w:hAnsi="Calibri"/>
                <w:sz w:val="19"/>
              </w:rPr>
            </w:r>
            <w:r>
              <w:rPr>
                <w:rFonts w:ascii="Calibri" w:hAnsi="Calibri"/>
                <w:sz w:val="19"/>
              </w:rPr>
              <w:t>JSON → Chart 9 (merge)</w:t>
            </w:r>
          </w:p>
        </w:tc>
      </w:tr>
    </w:tbl>
    <w:p/>
    <w:p>
      <w:r>
        <w:t>Tables 65345, 65349, and 65354 are merged into a single combined CSV that feeds the main cleaning pipeline. Tables 65219, 65086, and 65112 are preserved as raw JSON files and parsed directly inside the notebook for charts 7–9.</w:t>
      </w:r>
    </w:p>
    <w:p>
      <w:r>
        <w:rPr>
          <w:b/>
        </w:rPr>
        <w:t>Dataset dimensions (2002–2025 period):</w:t>
      </w:r>
    </w:p>
    <w:tbl>
      <w:tblPr>
        <w:tblStyle w:val="LightGrid-Accent1"/>
        <w:tblW w:type="auto" w:w="0"/>
        <w:jc w:val="center"/>
        <w:tblLook w:firstColumn="1" w:firstRow="1" w:lastColumn="0" w:lastRow="0" w:noHBand="0" w:noVBand="1" w:val="04A0"/>
      </w:tblPr>
      <w:tblGrid>
        <w:gridCol w:w="4536"/>
        <w:gridCol w:w="4536"/>
      </w:tblGrid>
      <w:tr>
        <w:tc>
          <w:tcPr>
            <w:tcW w:type="dxa" w:w="4536"/>
          </w:tcPr>
          <w:p>
            <w:pPr>
              <w:spacing w:after="40"/>
            </w:pPr>
            <w:r/>
            <w:r>
              <w:rPr>
                <w:rFonts w:ascii="Calibri" w:hAnsi="Calibri"/>
                <w:b/>
                <w:sz w:val="19"/>
              </w:rPr>
              <w:t>Attribute</w:t>
            </w:r>
          </w:p>
        </w:tc>
        <w:tc>
          <w:tcPr>
            <w:tcW w:type="dxa" w:w="4536"/>
          </w:tcPr>
          <w:p>
            <w:pPr>
              <w:spacing w:after="40"/>
            </w:pPr>
            <w:r/>
            <w:r>
              <w:rPr>
                <w:rFonts w:ascii="Calibri" w:hAnsi="Calibri"/>
                <w:b/>
                <w:sz w:val="19"/>
              </w:rPr>
              <w:t>Value</w:t>
            </w:r>
          </w:p>
        </w:tc>
      </w:tr>
      <w:tr>
        <w:tc>
          <w:tcPr>
            <w:tcW w:type="dxa" w:w="4536"/>
          </w:tcPr>
          <w:p>
            <w:pPr>
              <w:spacing w:after="40"/>
            </w:pPr>
            <w:r>
              <w:rPr>
                <w:rFonts w:ascii="Calibri" w:hAnsi="Calibri"/>
                <w:sz w:val="19"/>
              </w:rPr>
            </w:r>
            <w:r>
              <w:rPr>
                <w:rFonts w:ascii="Calibri" w:hAnsi="Calibri"/>
                <w:sz w:val="19"/>
              </w:rPr>
              <w:t>Rows (raw / clean)</w:t>
            </w:r>
          </w:p>
        </w:tc>
        <w:tc>
          <w:tcPr>
            <w:tcW w:type="dxa" w:w="4536"/>
          </w:tcPr>
          <w:p>
            <w:pPr>
              <w:spacing w:after="40"/>
            </w:pPr>
            <w:r>
              <w:rPr>
                <w:rFonts w:ascii="Calibri" w:hAnsi="Calibri"/>
                <w:sz w:val="19"/>
              </w:rPr>
            </w:r>
            <w:r>
              <w:rPr>
                <w:rFonts w:ascii="Calibri" w:hAnsi="Calibri"/>
                <w:sz w:val="19"/>
              </w:rPr>
              <w:t>~156,500 / 156,456</w:t>
            </w:r>
          </w:p>
        </w:tc>
      </w:tr>
      <w:tr>
        <w:tc>
          <w:tcPr>
            <w:tcW w:type="dxa" w:w="4536"/>
          </w:tcPr>
          <w:p>
            <w:pPr>
              <w:spacing w:after="40"/>
            </w:pPr>
            <w:r>
              <w:rPr>
                <w:rFonts w:ascii="Calibri" w:hAnsi="Calibri"/>
                <w:sz w:val="19"/>
              </w:rPr>
            </w:r>
            <w:r>
              <w:rPr>
                <w:rFonts w:ascii="Calibri" w:hAnsi="Calibri"/>
                <w:sz w:val="19"/>
              </w:rPr>
              <w:t>Columns (raw / with features)</w:t>
            </w:r>
          </w:p>
        </w:tc>
        <w:tc>
          <w:tcPr>
            <w:tcW w:type="dxa" w:w="4536"/>
          </w:tcPr>
          <w:p>
            <w:pPr>
              <w:spacing w:after="40"/>
            </w:pPr>
            <w:r>
              <w:rPr>
                <w:rFonts w:ascii="Calibri" w:hAnsi="Calibri"/>
                <w:sz w:val="19"/>
              </w:rPr>
            </w:r>
            <w:r>
              <w:rPr>
                <w:rFonts w:ascii="Calibri" w:hAnsi="Calibri"/>
                <w:sz w:val="19"/>
              </w:rPr>
              <w:t>8 / 17</w:t>
            </w:r>
          </w:p>
        </w:tc>
      </w:tr>
      <w:tr>
        <w:tc>
          <w:tcPr>
            <w:tcW w:type="dxa" w:w="4536"/>
          </w:tcPr>
          <w:p>
            <w:pPr>
              <w:spacing w:after="40"/>
            </w:pPr>
            <w:r>
              <w:rPr>
                <w:rFonts w:ascii="Calibri" w:hAnsi="Calibri"/>
                <w:sz w:val="19"/>
              </w:rPr>
            </w:r>
            <w:r>
              <w:rPr>
                <w:rFonts w:ascii="Calibri" w:hAnsi="Calibri"/>
                <w:sz w:val="19"/>
              </w:rPr>
              <w:t>Time span</w:t>
            </w:r>
          </w:p>
        </w:tc>
        <w:tc>
          <w:tcPr>
            <w:tcW w:type="dxa" w:w="4536"/>
          </w:tcPr>
          <w:p>
            <w:pPr>
              <w:spacing w:after="40"/>
            </w:pPr>
            <w:r>
              <w:rPr>
                <w:rFonts w:ascii="Calibri" w:hAnsi="Calibri"/>
                <w:sz w:val="19"/>
              </w:rPr>
            </w:r>
            <w:r>
              <w:rPr>
                <w:rFonts w:ascii="Calibri" w:hAnsi="Calibri"/>
                <w:sz w:val="19"/>
              </w:rPr>
              <w:t>Q4 2001 – Q3 2025 (96 quarters)</w:t>
            </w:r>
          </w:p>
        </w:tc>
      </w:tr>
      <w:tr>
        <w:tc>
          <w:tcPr>
            <w:tcW w:type="dxa" w:w="4536"/>
          </w:tcPr>
          <w:p>
            <w:pPr>
              <w:spacing w:after="40"/>
            </w:pPr>
            <w:r>
              <w:rPr>
                <w:rFonts w:ascii="Calibri" w:hAnsi="Calibri"/>
                <w:sz w:val="19"/>
              </w:rPr>
            </w:r>
            <w:r>
              <w:rPr>
                <w:rFonts w:ascii="Calibri" w:hAnsi="Calibri"/>
                <w:sz w:val="19"/>
              </w:rPr>
              <w:t>Geographic coverage</w:t>
            </w:r>
          </w:p>
        </w:tc>
        <w:tc>
          <w:tcPr>
            <w:tcW w:type="dxa" w:w="4536"/>
          </w:tcPr>
          <w:p>
            <w:pPr>
              <w:spacing w:after="40"/>
            </w:pPr>
            <w:r>
              <w:rPr>
                <w:rFonts w:ascii="Calibri" w:hAnsi="Calibri"/>
                <w:sz w:val="19"/>
              </w:rPr>
            </w:r>
            <w:r>
              <w:rPr>
                <w:rFonts w:ascii="Calibri" w:hAnsi="Calibri"/>
                <w:sz w:val="19"/>
              </w:rPr>
              <w:t>52 provinces + national total</w:t>
            </w:r>
          </w:p>
        </w:tc>
      </w:tr>
      <w:tr>
        <w:tc>
          <w:tcPr>
            <w:tcW w:type="dxa" w:w="4536"/>
          </w:tcPr>
          <w:p>
            <w:pPr>
              <w:spacing w:after="40"/>
            </w:pPr>
            <w:r>
              <w:rPr>
                <w:rFonts w:ascii="Calibri" w:hAnsi="Calibri"/>
                <w:sz w:val="19"/>
              </w:rPr>
            </w:r>
            <w:r>
              <w:rPr>
                <w:rFonts w:ascii="Calibri" w:hAnsi="Calibri"/>
                <w:sz w:val="19"/>
              </w:rPr>
              <w:t>Autonomous communities</w:t>
            </w:r>
          </w:p>
        </w:tc>
        <w:tc>
          <w:tcPr>
            <w:tcW w:type="dxa" w:w="4536"/>
          </w:tcPr>
          <w:p>
            <w:pPr>
              <w:spacing w:after="40"/>
            </w:pPr>
            <w:r>
              <w:rPr>
                <w:rFonts w:ascii="Calibri" w:hAnsi="Calibri"/>
                <w:sz w:val="19"/>
              </w:rPr>
            </w:r>
            <w:r>
              <w:rPr>
                <w:rFonts w:ascii="Calibri" w:hAnsi="Calibri"/>
                <w:sz w:val="19"/>
              </w:rPr>
              <w:t>20</w:t>
            </w:r>
          </w:p>
        </w:tc>
      </w:tr>
      <w:tr>
        <w:tc>
          <w:tcPr>
            <w:tcW w:type="dxa" w:w="4536"/>
          </w:tcPr>
          <w:p>
            <w:pPr>
              <w:spacing w:after="40"/>
            </w:pPr>
            <w:r>
              <w:rPr>
                <w:rFonts w:ascii="Calibri" w:hAnsi="Calibri"/>
                <w:sz w:val="19"/>
              </w:rPr>
            </w:r>
            <w:r>
              <w:rPr>
                <w:rFonts w:ascii="Calibri" w:hAnsi="Calibri"/>
                <w:sz w:val="19"/>
              </w:rPr>
              <w:t>Source tables (main CSV)</w:t>
            </w:r>
          </w:p>
        </w:tc>
        <w:tc>
          <w:tcPr>
            <w:tcW w:type="dxa" w:w="4536"/>
          </w:tcPr>
          <w:p>
            <w:pPr>
              <w:spacing w:after="40"/>
            </w:pPr>
            <w:r>
              <w:rPr>
                <w:rFonts w:ascii="Calibri" w:hAnsi="Calibri"/>
                <w:sz w:val="19"/>
              </w:rPr>
            </w:r>
            <w:r>
              <w:rPr>
                <w:rFonts w:ascii="Calibri" w:hAnsi="Calibri"/>
                <w:sz w:val="19"/>
              </w:rPr>
              <w:t>3 EPA tables (65345, 65349, 65354)</w:t>
            </w:r>
          </w:p>
        </w:tc>
      </w:tr>
    </w:tbl>
    <w:p/>
    <w:p>
      <w:pPr>
        <w:pStyle w:val="Heading3"/>
      </w:pPr>
      <w:r>
        <w:t>3.1 INE API Raw JSON Glossary</w:t>
      </w:r>
    </w:p>
    <w:p>
      <w:r>
        <w:t>The raw JSON files returned by the INE API (</w:t>
      </w:r>
      <w:r>
        <w:rPr>
          <w:rFonts w:ascii="Consolas" w:hAnsi="Consolas"/>
          <w:color w:val="800000"/>
          <w:sz w:val="19"/>
        </w:rPr>
        <w:t>data/raw/*.json</w:t>
      </w:r>
      <w:r>
        <w:t>) use internal field names and coded values. This section documents every field.</w:t>
      </w:r>
    </w:p>
    <w:p>
      <w:pPr>
        <w:pStyle w:val="Heading4"/>
      </w:pPr>
      <w:r>
        <w:t>Series-level fields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pPr>
              <w:spacing w:after="40"/>
            </w:pPr>
            <w:r/>
            <w:r>
              <w:rPr>
                <w:rFonts w:ascii="Calibri" w:hAnsi="Calibri"/>
                <w:b/>
                <w:sz w:val="19"/>
              </w:rPr>
              <w:t>Field</w:t>
            </w:r>
          </w:p>
        </w:tc>
        <w:tc>
          <w:tcPr>
            <w:tcW w:type="dxa" w:w="3024"/>
          </w:tcPr>
          <w:p>
            <w:pPr>
              <w:spacing w:after="40"/>
            </w:pPr>
            <w:r/>
            <w:r>
              <w:rPr>
                <w:rFonts w:ascii="Calibri" w:hAnsi="Calibri"/>
                <w:b/>
                <w:sz w:val="19"/>
              </w:rPr>
              <w:t>Meaning</w:t>
            </w:r>
          </w:p>
        </w:tc>
        <w:tc>
          <w:tcPr>
            <w:tcW w:type="dxa" w:w="3024"/>
          </w:tcPr>
          <w:p>
            <w:pPr>
              <w:spacing w:after="40"/>
            </w:pPr>
            <w:r/>
            <w:r>
              <w:rPr>
                <w:rFonts w:ascii="Calibri" w:hAnsi="Calibri"/>
                <w:b/>
                <w:sz w:val="19"/>
              </w:rPr>
              <w:t>Example</w:t>
            </w:r>
          </w:p>
        </w:tc>
      </w:tr>
      <w:tr>
        <w:tc>
          <w:tcPr>
            <w:tcW w:type="dxa" w:w="3024"/>
          </w:tcPr>
          <w:p>
            <w:pPr>
              <w:spacing w:after="40"/>
            </w:pPr>
            <w:r>
              <w:rPr>
                <w:rFonts w:ascii="Calibri" w:hAnsi="Calibri"/>
                <w:sz w:val="19"/>
              </w:rPr>
            </w:r>
            <w:r>
              <w:rPr>
                <w:rFonts w:ascii="Consolas" w:hAnsi="Consolas"/>
                <w:color w:val="800000"/>
                <w:sz w:val="19"/>
              </w:rPr>
              <w:t>COD</w:t>
            </w:r>
          </w:p>
        </w:tc>
        <w:tc>
          <w:tcPr>
            <w:tcW w:type="dxa" w:w="3024"/>
          </w:tcPr>
          <w:p>
            <w:pPr>
              <w:spacing w:after="40"/>
            </w:pPr>
            <w:r>
              <w:rPr>
                <w:rFonts w:ascii="Calibri" w:hAnsi="Calibri"/>
                <w:sz w:val="19"/>
              </w:rPr>
            </w:r>
            <w:r>
              <w:rPr>
                <w:rFonts w:ascii="Calibri" w:hAnsi="Calibri"/>
                <w:sz w:val="19"/>
              </w:rPr>
              <w:t>Internal INE series code — unique identifier for a combination of table, province, sex, and activity type.</w:t>
            </w:r>
          </w:p>
        </w:tc>
        <w:tc>
          <w:tcPr>
            <w:tcW w:type="dxa" w:w="3024"/>
          </w:tcPr>
          <w:p>
            <w:pPr>
              <w:spacing w:after="40"/>
            </w:pPr>
            <w:r>
              <w:rPr>
                <w:rFonts w:ascii="Calibri" w:hAnsi="Calibri"/>
                <w:sz w:val="19"/>
              </w:rPr>
            </w:r>
            <w:r>
              <w:rPr>
                <w:rFonts w:ascii="Consolas" w:hAnsi="Consolas"/>
                <w:color w:val="800000"/>
                <w:sz w:val="19"/>
              </w:rPr>
              <w:t>EPA397872</w:t>
            </w:r>
          </w:p>
        </w:tc>
      </w:tr>
      <w:tr>
        <w:tc>
          <w:tcPr>
            <w:tcW w:type="dxa" w:w="3024"/>
          </w:tcPr>
          <w:p>
            <w:pPr>
              <w:spacing w:after="40"/>
            </w:pPr>
            <w:r>
              <w:rPr>
                <w:rFonts w:ascii="Calibri" w:hAnsi="Calibri"/>
                <w:sz w:val="19"/>
              </w:rPr>
            </w:r>
            <w:r>
              <w:rPr>
                <w:rFonts w:ascii="Consolas" w:hAnsi="Consolas"/>
                <w:color w:val="800000"/>
                <w:sz w:val="19"/>
              </w:rPr>
              <w:t>Nombre</w:t>
            </w:r>
          </w:p>
        </w:tc>
        <w:tc>
          <w:tcPr>
            <w:tcW w:type="dxa" w:w="3024"/>
          </w:tcPr>
          <w:p>
            <w:pPr>
              <w:spacing w:after="40"/>
            </w:pPr>
            <w:r>
              <w:rPr>
                <w:rFonts w:ascii="Calibri" w:hAnsi="Calibri"/>
                <w:sz w:val="19"/>
              </w:rPr>
            </w:r>
            <w:r>
              <w:rPr>
                <w:rFonts w:ascii="Calibri" w:hAnsi="Calibri"/>
                <w:sz w:val="19"/>
              </w:rPr>
              <w:t>Human-readable series name, containing all analytical dimensions packed into a single string.</w:t>
            </w:r>
          </w:p>
        </w:tc>
        <w:tc>
          <w:tcPr>
            <w:tcW w:type="dxa" w:w="3024"/>
          </w:tcPr>
          <w:p>
            <w:pPr>
              <w:spacing w:after="40"/>
            </w:pPr>
            <w:r>
              <w:rPr>
                <w:rFonts w:ascii="Calibri" w:hAnsi="Calibri"/>
                <w:sz w:val="19"/>
              </w:rPr>
            </w:r>
            <w:r>
              <w:rPr>
                <w:rFonts w:ascii="Consolas" w:hAnsi="Consolas"/>
                <w:color w:val="800000"/>
                <w:sz w:val="19"/>
              </w:rPr>
              <w:t>Total Nacional. Ocupados. Ambos sexos. Total CNAE. Personas.</w:t>
            </w:r>
          </w:p>
        </w:tc>
      </w:tr>
      <w:tr>
        <w:tc>
          <w:tcPr>
            <w:tcW w:type="dxa" w:w="3024"/>
          </w:tcPr>
          <w:p>
            <w:pPr>
              <w:spacing w:after="40"/>
            </w:pPr>
            <w:r>
              <w:rPr>
                <w:rFonts w:ascii="Calibri" w:hAnsi="Calibri"/>
                <w:sz w:val="19"/>
              </w:rPr>
            </w:r>
            <w:r>
              <w:rPr>
                <w:rFonts w:ascii="Consolas" w:hAnsi="Consolas"/>
                <w:color w:val="800000"/>
                <w:sz w:val="19"/>
              </w:rPr>
              <w:t>FK_Unidad</w:t>
            </w:r>
          </w:p>
        </w:tc>
        <w:tc>
          <w:tcPr>
            <w:tcW w:type="dxa" w:w="3024"/>
          </w:tcPr>
          <w:p>
            <w:pPr>
              <w:spacing w:after="40"/>
            </w:pPr>
            <w:r>
              <w:rPr>
                <w:rFonts w:ascii="Calibri" w:hAnsi="Calibri"/>
                <w:sz w:val="19"/>
              </w:rPr>
            </w:r>
            <w:r>
              <w:rPr>
                <w:rFonts w:ascii="Calibri" w:hAnsi="Calibri"/>
                <w:sz w:val="19"/>
              </w:rPr>
              <w:t>Foreign key to unit of measurement. 3 = Personas, 101 = Porcentaje.</w:t>
            </w:r>
          </w:p>
        </w:tc>
        <w:tc>
          <w:tcPr>
            <w:tcW w:type="dxa" w:w="3024"/>
          </w:tcPr>
          <w:p>
            <w:pPr>
              <w:spacing w:after="40"/>
            </w:pPr>
            <w:r>
              <w:rPr>
                <w:rFonts w:ascii="Calibri" w:hAnsi="Calibri"/>
                <w:sz w:val="19"/>
              </w:rPr>
            </w:r>
            <w:r>
              <w:rPr>
                <w:rFonts w:ascii="Calibri" w:hAnsi="Calibri"/>
                <w:sz w:val="19"/>
              </w:rPr>
              <w:t>3</w:t>
            </w:r>
          </w:p>
        </w:tc>
      </w:tr>
      <w:tr>
        <w:tc>
          <w:tcPr>
            <w:tcW w:type="dxa" w:w="3024"/>
          </w:tcPr>
          <w:p>
            <w:pPr>
              <w:spacing w:after="40"/>
            </w:pPr>
            <w:r>
              <w:rPr>
                <w:rFonts w:ascii="Calibri" w:hAnsi="Calibri"/>
                <w:sz w:val="19"/>
              </w:rPr>
            </w:r>
            <w:r>
              <w:rPr>
                <w:rFonts w:ascii="Consolas" w:hAnsi="Consolas"/>
                <w:color w:val="800000"/>
                <w:sz w:val="19"/>
              </w:rPr>
              <w:t>FK_Escala</w:t>
            </w:r>
          </w:p>
        </w:tc>
        <w:tc>
          <w:tcPr>
            <w:tcW w:type="dxa" w:w="3024"/>
          </w:tcPr>
          <w:p>
            <w:pPr>
              <w:spacing w:after="40"/>
            </w:pPr>
            <w:r>
              <w:rPr>
                <w:rFonts w:ascii="Calibri" w:hAnsi="Calibri"/>
                <w:sz w:val="19"/>
              </w:rPr>
            </w:r>
            <w:r>
              <w:rPr>
                <w:rFonts w:ascii="Calibri" w:hAnsi="Calibri"/>
                <w:sz w:val="19"/>
              </w:rPr>
              <w:t>Foreign key to scale (multiplier). 4 = Miles / thousands (×1,000).</w:t>
            </w:r>
          </w:p>
        </w:tc>
        <w:tc>
          <w:tcPr>
            <w:tcW w:type="dxa" w:w="3024"/>
          </w:tcPr>
          <w:p>
            <w:pPr>
              <w:spacing w:after="40"/>
            </w:pPr>
            <w:r>
              <w:rPr>
                <w:rFonts w:ascii="Calibri" w:hAnsi="Calibri"/>
                <w:sz w:val="19"/>
              </w:rPr>
            </w:r>
            <w:r>
              <w:rPr>
                <w:rFonts w:ascii="Calibri" w:hAnsi="Calibri"/>
                <w:sz w:val="19"/>
              </w:rPr>
              <w:t>4</w:t>
            </w:r>
          </w:p>
        </w:tc>
      </w:tr>
      <w:tr>
        <w:tc>
          <w:tcPr>
            <w:tcW w:type="dxa" w:w="3024"/>
          </w:tcPr>
          <w:p>
            <w:pPr>
              <w:spacing w:after="40"/>
            </w:pPr>
            <w:r>
              <w:rPr>
                <w:rFonts w:ascii="Calibri" w:hAnsi="Calibri"/>
                <w:sz w:val="19"/>
              </w:rPr>
            </w:r>
            <w:r>
              <w:rPr>
                <w:rFonts w:ascii="Consolas" w:hAnsi="Consolas"/>
                <w:color w:val="800000"/>
                <w:sz w:val="19"/>
              </w:rPr>
              <w:t>Data</w:t>
            </w:r>
          </w:p>
        </w:tc>
        <w:tc>
          <w:tcPr>
            <w:tcW w:type="dxa" w:w="3024"/>
          </w:tcPr>
          <w:p>
            <w:pPr>
              <w:spacing w:after="40"/>
            </w:pPr>
            <w:r>
              <w:rPr>
                <w:rFonts w:ascii="Calibri" w:hAnsi="Calibri"/>
                <w:sz w:val="19"/>
              </w:rPr>
            </w:r>
            <w:r>
              <w:rPr>
                <w:rFonts w:ascii="Calibri" w:hAnsi="Calibri"/>
                <w:sz w:val="19"/>
              </w:rPr>
              <w:t>Array of data point objects, one per quarter-year combination.</w:t>
            </w:r>
          </w:p>
        </w:tc>
        <w:tc>
          <w:tcPr>
            <w:tcW w:type="dxa" w:w="3024"/>
          </w:tcPr>
          <w:p>
            <w:pPr>
              <w:spacing w:after="40"/>
            </w:pPr>
            <w:r>
              <w:rPr>
                <w:rFonts w:ascii="Calibri" w:hAnsi="Calibri"/>
                <w:sz w:val="19"/>
              </w:rPr>
            </w:r>
            <w:r>
              <w:rPr>
                <w:rFonts w:ascii="Calibri" w:hAnsi="Calibri"/>
                <w:sz w:val="19"/>
              </w:rPr>
              <w:t>[{...}, {...}]</w:t>
            </w:r>
          </w:p>
        </w:tc>
      </w:tr>
    </w:tbl>
    <w:p/>
    <w:p>
      <w:pPr>
        <w:pStyle w:val="Heading4"/>
      </w:pPr>
      <w:r>
        <w:t>Data-point-level fields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pPr>
              <w:spacing w:after="40"/>
            </w:pPr>
            <w:r/>
            <w:r>
              <w:rPr>
                <w:rFonts w:ascii="Calibri" w:hAnsi="Calibri"/>
                <w:b/>
                <w:sz w:val="19"/>
              </w:rPr>
              <w:t>Field</w:t>
            </w:r>
          </w:p>
        </w:tc>
        <w:tc>
          <w:tcPr>
            <w:tcW w:type="dxa" w:w="3024"/>
          </w:tcPr>
          <w:p>
            <w:pPr>
              <w:spacing w:after="40"/>
            </w:pPr>
            <w:r/>
            <w:r>
              <w:rPr>
                <w:rFonts w:ascii="Calibri" w:hAnsi="Calibri"/>
                <w:b/>
                <w:sz w:val="19"/>
              </w:rPr>
              <w:t>Meaning</w:t>
            </w:r>
          </w:p>
        </w:tc>
        <w:tc>
          <w:tcPr>
            <w:tcW w:type="dxa" w:w="3024"/>
          </w:tcPr>
          <w:p>
            <w:pPr>
              <w:spacing w:after="40"/>
            </w:pPr>
            <w:r/>
            <w:r>
              <w:rPr>
                <w:rFonts w:ascii="Calibri" w:hAnsi="Calibri"/>
                <w:b/>
                <w:sz w:val="19"/>
              </w:rPr>
              <w:t>Example</w:t>
            </w:r>
          </w:p>
        </w:tc>
      </w:tr>
      <w:tr>
        <w:tc>
          <w:tcPr>
            <w:tcW w:type="dxa" w:w="3024"/>
          </w:tcPr>
          <w:p>
            <w:pPr>
              <w:spacing w:after="40"/>
            </w:pPr>
            <w:r>
              <w:rPr>
                <w:rFonts w:ascii="Calibri" w:hAnsi="Calibri"/>
                <w:sz w:val="19"/>
              </w:rPr>
            </w:r>
            <w:r>
              <w:rPr>
                <w:rFonts w:ascii="Consolas" w:hAnsi="Consolas"/>
                <w:color w:val="800000"/>
                <w:sz w:val="19"/>
              </w:rPr>
              <w:t>Fecha</w:t>
            </w:r>
          </w:p>
        </w:tc>
        <w:tc>
          <w:tcPr>
            <w:tcW w:type="dxa" w:w="3024"/>
          </w:tcPr>
          <w:p>
            <w:pPr>
              <w:spacing w:after="40"/>
            </w:pPr>
            <w:r>
              <w:rPr>
                <w:rFonts w:ascii="Calibri" w:hAnsi="Calibri"/>
                <w:sz w:val="19"/>
              </w:rPr>
            </w:r>
            <w:r>
              <w:rPr>
                <w:rFonts w:ascii="Calibri" w:hAnsi="Calibri"/>
                <w:sz w:val="19"/>
              </w:rPr>
              <w:t>Date as a Unix timestamp in milliseconds.</w:t>
            </w:r>
          </w:p>
        </w:tc>
        <w:tc>
          <w:tcPr>
            <w:tcW w:type="dxa" w:w="3024"/>
          </w:tcPr>
          <w:p>
            <w:pPr>
              <w:spacing w:after="40"/>
            </w:pPr>
            <w:r>
              <w:rPr>
                <w:rFonts w:ascii="Calibri" w:hAnsi="Calibri"/>
                <w:sz w:val="19"/>
              </w:rPr>
            </w:r>
            <w:r>
              <w:rPr>
                <w:rFonts w:ascii="Calibri" w:hAnsi="Calibri"/>
                <w:sz w:val="19"/>
              </w:rPr>
              <w:t>1759269600000 → 2025-10-01</w:t>
            </w:r>
          </w:p>
        </w:tc>
      </w:tr>
      <w:tr>
        <w:tc>
          <w:tcPr>
            <w:tcW w:type="dxa" w:w="3024"/>
          </w:tcPr>
          <w:p>
            <w:pPr>
              <w:spacing w:after="40"/>
            </w:pPr>
            <w:r>
              <w:rPr>
                <w:rFonts w:ascii="Calibri" w:hAnsi="Calibri"/>
                <w:sz w:val="19"/>
              </w:rPr>
            </w:r>
            <w:r>
              <w:rPr>
                <w:rFonts w:ascii="Consolas" w:hAnsi="Consolas"/>
                <w:color w:val="800000"/>
                <w:sz w:val="19"/>
              </w:rPr>
              <w:t>FK_TipoDato</w:t>
            </w:r>
          </w:p>
        </w:tc>
        <w:tc>
          <w:tcPr>
            <w:tcW w:type="dxa" w:w="3024"/>
          </w:tcPr>
          <w:p>
            <w:pPr>
              <w:spacing w:after="40"/>
            </w:pPr>
            <w:r>
              <w:rPr>
                <w:rFonts w:ascii="Calibri" w:hAnsi="Calibri"/>
                <w:sz w:val="19"/>
              </w:rPr>
            </w:r>
            <w:r>
              <w:rPr>
                <w:rFonts w:ascii="Calibri" w:hAnsi="Calibri"/>
                <w:sz w:val="19"/>
              </w:rPr>
              <w:t>Data type — 1 = definitive data.</w:t>
            </w:r>
          </w:p>
        </w:tc>
        <w:tc>
          <w:tcPr>
            <w:tcW w:type="dxa" w:w="3024"/>
          </w:tcPr>
          <w:p>
            <w:pPr>
              <w:spacing w:after="40"/>
            </w:pPr>
            <w:r>
              <w:rPr>
                <w:rFonts w:ascii="Calibri" w:hAnsi="Calibri"/>
                <w:sz w:val="19"/>
              </w:rPr>
            </w:r>
            <w:r>
              <w:rPr>
                <w:rFonts w:ascii="Calibri" w:hAnsi="Calibri"/>
                <w:sz w:val="19"/>
              </w:rPr>
              <w:t>Always 1 in EPA</w:t>
            </w:r>
          </w:p>
        </w:tc>
      </w:tr>
      <w:tr>
        <w:tc>
          <w:tcPr>
            <w:tcW w:type="dxa" w:w="3024"/>
          </w:tcPr>
          <w:p>
            <w:pPr>
              <w:spacing w:after="40"/>
            </w:pPr>
            <w:r>
              <w:rPr>
                <w:rFonts w:ascii="Calibri" w:hAnsi="Calibri"/>
                <w:sz w:val="19"/>
              </w:rPr>
            </w:r>
            <w:r>
              <w:rPr>
                <w:rFonts w:ascii="Consolas" w:hAnsi="Consolas"/>
                <w:color w:val="800000"/>
                <w:sz w:val="19"/>
              </w:rPr>
              <w:t>FK_Periodo</w:t>
            </w:r>
          </w:p>
        </w:tc>
        <w:tc>
          <w:tcPr>
            <w:tcW w:type="dxa" w:w="3024"/>
          </w:tcPr>
          <w:p>
            <w:pPr>
              <w:spacing w:after="40"/>
            </w:pPr>
            <w:r>
              <w:rPr>
                <w:rFonts w:ascii="Calibri" w:hAnsi="Calibri"/>
                <w:sz w:val="19"/>
              </w:rPr>
            </w:r>
            <w:r>
              <w:rPr>
                <w:rFonts w:ascii="Calibri" w:hAnsi="Calibri"/>
                <w:sz w:val="19"/>
              </w:rPr>
              <w:t>Quarter ID (non-sequential): 19=Q4, 20=Q1, 21=Q2, 22=Q3.</w:t>
            </w:r>
          </w:p>
        </w:tc>
        <w:tc>
          <w:tcPr>
            <w:tcW w:type="dxa" w:w="3024"/>
          </w:tcPr>
          <w:p>
            <w:pPr>
              <w:spacing w:after="40"/>
            </w:pPr>
            <w:r>
              <w:rPr>
                <w:rFonts w:ascii="Calibri" w:hAnsi="Calibri"/>
                <w:sz w:val="19"/>
              </w:rPr>
            </w:r>
            <w:r>
              <w:rPr>
                <w:rFonts w:ascii="Calibri" w:hAnsi="Calibri"/>
                <w:sz w:val="19"/>
              </w:rPr>
              <w:t>22 → Q3</w:t>
            </w:r>
          </w:p>
        </w:tc>
      </w:tr>
      <w:tr>
        <w:tc>
          <w:tcPr>
            <w:tcW w:type="dxa" w:w="3024"/>
          </w:tcPr>
          <w:p>
            <w:pPr>
              <w:spacing w:after="40"/>
            </w:pPr>
            <w:r>
              <w:rPr>
                <w:rFonts w:ascii="Calibri" w:hAnsi="Calibri"/>
                <w:sz w:val="19"/>
              </w:rPr>
            </w:r>
            <w:r>
              <w:rPr>
                <w:rFonts w:ascii="Consolas" w:hAnsi="Consolas"/>
                <w:color w:val="800000"/>
                <w:sz w:val="19"/>
              </w:rPr>
              <w:t>Anyo</w:t>
            </w:r>
          </w:p>
        </w:tc>
        <w:tc>
          <w:tcPr>
            <w:tcW w:type="dxa" w:w="3024"/>
          </w:tcPr>
          <w:p>
            <w:pPr>
              <w:spacing w:after="40"/>
            </w:pPr>
            <w:r>
              <w:rPr>
                <w:rFonts w:ascii="Calibri" w:hAnsi="Calibri"/>
                <w:sz w:val="19"/>
              </w:rPr>
            </w:r>
            <w:r>
              <w:rPr>
                <w:rFonts w:ascii="Calibri" w:hAnsi="Calibri"/>
                <w:sz w:val="19"/>
              </w:rPr>
              <w:t>Year of the observation (Spanish año → Anyo).</w:t>
            </w:r>
          </w:p>
        </w:tc>
        <w:tc>
          <w:tcPr>
            <w:tcW w:type="dxa" w:w="3024"/>
          </w:tcPr>
          <w:p>
            <w:pPr>
              <w:spacing w:after="40"/>
            </w:pPr>
            <w:r>
              <w:rPr>
                <w:rFonts w:ascii="Calibri" w:hAnsi="Calibri"/>
                <w:sz w:val="19"/>
              </w:rPr>
            </w:r>
            <w:r>
              <w:rPr>
                <w:rFonts w:ascii="Calibri" w:hAnsi="Calibri"/>
                <w:sz w:val="19"/>
              </w:rPr>
              <w:t>2025</w:t>
            </w:r>
          </w:p>
        </w:tc>
      </w:tr>
      <w:tr>
        <w:tc>
          <w:tcPr>
            <w:tcW w:type="dxa" w:w="3024"/>
          </w:tcPr>
          <w:p>
            <w:pPr>
              <w:spacing w:after="40"/>
            </w:pPr>
            <w:r>
              <w:rPr>
                <w:rFonts w:ascii="Calibri" w:hAnsi="Calibri"/>
                <w:sz w:val="19"/>
              </w:rPr>
            </w:r>
            <w:r>
              <w:rPr>
                <w:rFonts w:ascii="Consolas" w:hAnsi="Consolas"/>
                <w:color w:val="800000"/>
                <w:sz w:val="19"/>
              </w:rPr>
              <w:t>Valor</w:t>
            </w:r>
          </w:p>
        </w:tc>
        <w:tc>
          <w:tcPr>
            <w:tcW w:type="dxa" w:w="3024"/>
          </w:tcPr>
          <w:p>
            <w:pPr>
              <w:spacing w:after="40"/>
            </w:pPr>
            <w:r>
              <w:rPr>
                <w:rFonts w:ascii="Calibri" w:hAnsi="Calibri"/>
                <w:sz w:val="19"/>
              </w:rPr>
            </w:r>
            <w:r>
              <w:rPr>
                <w:rFonts w:ascii="Calibri" w:hAnsi="Calibri"/>
                <w:sz w:val="19"/>
              </w:rPr>
              <w:t>Observed value. Unit/scale depend on FK_Unidad / FK_Escala.</w:t>
            </w:r>
          </w:p>
        </w:tc>
        <w:tc>
          <w:tcPr>
            <w:tcW w:type="dxa" w:w="3024"/>
          </w:tcPr>
          <w:p>
            <w:pPr>
              <w:spacing w:after="40"/>
            </w:pPr>
            <w:r>
              <w:rPr>
                <w:rFonts w:ascii="Calibri" w:hAnsi="Calibri"/>
                <w:sz w:val="19"/>
              </w:rPr>
            </w:r>
            <w:r>
              <w:rPr>
                <w:rFonts w:ascii="Calibri" w:hAnsi="Calibri"/>
                <w:sz w:val="19"/>
              </w:rPr>
              <w:t>22463.3</w:t>
            </w:r>
          </w:p>
        </w:tc>
      </w:tr>
      <w:tr>
        <w:tc>
          <w:tcPr>
            <w:tcW w:type="dxa" w:w="3024"/>
          </w:tcPr>
          <w:p>
            <w:pPr>
              <w:spacing w:after="40"/>
            </w:pPr>
            <w:r>
              <w:rPr>
                <w:rFonts w:ascii="Calibri" w:hAnsi="Calibri"/>
                <w:sz w:val="19"/>
              </w:rPr>
            </w:r>
            <w:r>
              <w:rPr>
                <w:rFonts w:ascii="Consolas" w:hAnsi="Consolas"/>
                <w:color w:val="800000"/>
                <w:sz w:val="19"/>
              </w:rPr>
              <w:t>Secreto</w:t>
            </w:r>
          </w:p>
        </w:tc>
        <w:tc>
          <w:tcPr>
            <w:tcW w:type="dxa" w:w="3024"/>
          </w:tcPr>
          <w:p>
            <w:pPr>
              <w:spacing w:after="40"/>
            </w:pPr>
            <w:r>
              <w:rPr>
                <w:rFonts w:ascii="Calibri" w:hAnsi="Calibri"/>
                <w:sz w:val="19"/>
              </w:rPr>
            </w:r>
            <w:r>
              <w:rPr>
                <w:rFonts w:ascii="Calibri" w:hAnsi="Calibri"/>
                <w:sz w:val="19"/>
              </w:rPr>
              <w:t>Statistical secrecy flag. When true, value is suppressed.</w:t>
            </w:r>
          </w:p>
        </w:tc>
        <w:tc>
          <w:tcPr>
            <w:tcW w:type="dxa" w:w="3024"/>
          </w:tcPr>
          <w:p>
            <w:pPr>
              <w:spacing w:after="40"/>
            </w:pPr>
            <w:r>
              <w:rPr>
                <w:rFonts w:ascii="Calibri" w:hAnsi="Calibri"/>
                <w:sz w:val="19"/>
              </w:rPr>
            </w:r>
            <w:r>
              <w:rPr>
                <w:rFonts w:ascii="Calibri" w:hAnsi="Calibri"/>
                <w:sz w:val="19"/>
              </w:rPr>
              <w:t>false</w:t>
            </w:r>
          </w:p>
        </w:tc>
      </w:tr>
    </w:tbl>
    <w:p/>
    <w:p>
      <w:pPr>
        <w:pStyle w:val="Heading4"/>
      </w:pPr>
      <w:r>
        <w:t>How these fields map to the processed dataset</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pPr>
              <w:spacing w:after="40"/>
            </w:pPr>
            <w:r/>
            <w:r>
              <w:rPr>
                <w:rFonts w:ascii="Calibri" w:hAnsi="Calibri"/>
                <w:b/>
                <w:sz w:val="19"/>
              </w:rPr>
              <w:t>Raw JSON field</w:t>
            </w:r>
          </w:p>
        </w:tc>
        <w:tc>
          <w:tcPr>
            <w:tcW w:type="dxa" w:w="2268"/>
          </w:tcPr>
          <w:p>
            <w:pPr>
              <w:spacing w:after="40"/>
            </w:pPr>
            <w:r/>
            <w:r>
              <w:rPr>
                <w:rFonts w:ascii="Calibri" w:hAnsi="Calibri"/>
                <w:b/>
                <w:sz w:val="19"/>
              </w:rPr>
              <w:t>Raw CSV column</w:t>
            </w:r>
          </w:p>
        </w:tc>
        <w:tc>
          <w:tcPr>
            <w:tcW w:type="dxa" w:w="2268"/>
          </w:tcPr>
          <w:p>
            <w:pPr>
              <w:spacing w:after="40"/>
            </w:pPr>
            <w:r/>
            <w:r>
              <w:rPr>
                <w:rFonts w:ascii="Calibri" w:hAnsi="Calibri"/>
                <w:b/>
                <w:sz w:val="19"/>
              </w:rPr>
              <w:t>Final clean column</w:t>
            </w:r>
          </w:p>
        </w:tc>
        <w:tc>
          <w:tcPr>
            <w:tcW w:type="dxa" w:w="2268"/>
          </w:tcPr>
          <w:p>
            <w:pPr>
              <w:spacing w:after="40"/>
            </w:pPr>
            <w:r/>
            <w:r>
              <w:rPr>
                <w:rFonts w:ascii="Calibri" w:hAnsi="Calibri"/>
                <w:b/>
                <w:sz w:val="19"/>
              </w:rPr>
              <w:t>Transformation</w:t>
            </w:r>
          </w:p>
        </w:tc>
      </w:tr>
      <w:tr>
        <w:tc>
          <w:tcPr>
            <w:tcW w:type="dxa" w:w="2268"/>
          </w:tcPr>
          <w:p>
            <w:pPr>
              <w:spacing w:after="40"/>
            </w:pPr>
            <w:r>
              <w:rPr>
                <w:rFonts w:ascii="Calibri" w:hAnsi="Calibri"/>
                <w:sz w:val="19"/>
              </w:rPr>
            </w:r>
            <w:r>
              <w:rPr>
                <w:rFonts w:ascii="Consolas" w:hAnsi="Consolas"/>
                <w:color w:val="800000"/>
                <w:sz w:val="19"/>
              </w:rPr>
              <w:t>COD</w:t>
            </w:r>
          </w:p>
        </w:tc>
        <w:tc>
          <w:tcPr>
            <w:tcW w:type="dxa" w:w="2268"/>
          </w:tcPr>
          <w:p>
            <w:pPr>
              <w:spacing w:after="40"/>
            </w:pPr>
            <w:r>
              <w:rPr>
                <w:rFonts w:ascii="Calibri" w:hAnsi="Calibri"/>
                <w:sz w:val="19"/>
              </w:rPr>
            </w:r>
            <w:r>
              <w:rPr>
                <w:rFonts w:ascii="Consolas" w:hAnsi="Consolas"/>
                <w:color w:val="800000"/>
                <w:sz w:val="19"/>
              </w:rPr>
              <w:t>serie_cod</w:t>
            </w:r>
          </w:p>
        </w:tc>
        <w:tc>
          <w:tcPr>
            <w:tcW w:type="dxa" w:w="2268"/>
          </w:tcPr>
          <w:p>
            <w:pPr>
              <w:spacing w:after="40"/>
            </w:pPr>
            <w:r>
              <w:rPr>
                <w:rFonts w:ascii="Calibri" w:hAnsi="Calibri"/>
                <w:sz w:val="19"/>
              </w:rPr>
            </w:r>
            <w:r>
              <w:rPr>
                <w:rFonts w:ascii="Consolas" w:hAnsi="Consolas"/>
                <w:color w:val="800000"/>
                <w:sz w:val="19"/>
              </w:rPr>
              <w:t>serie_cod</w:t>
            </w:r>
          </w:p>
        </w:tc>
        <w:tc>
          <w:tcPr>
            <w:tcW w:type="dxa" w:w="2268"/>
          </w:tcPr>
          <w:p>
            <w:pPr>
              <w:spacing w:after="40"/>
            </w:pPr>
            <w:r>
              <w:rPr>
                <w:rFonts w:ascii="Calibri" w:hAnsi="Calibri"/>
                <w:sz w:val="19"/>
              </w:rPr>
            </w:r>
            <w:r>
              <w:rPr>
                <w:rFonts w:ascii="Calibri" w:hAnsi="Calibri"/>
                <w:sz w:val="19"/>
              </w:rPr>
              <w:t>Kept as-is</w:t>
            </w:r>
          </w:p>
        </w:tc>
      </w:tr>
      <w:tr>
        <w:tc>
          <w:tcPr>
            <w:tcW w:type="dxa" w:w="2268"/>
          </w:tcPr>
          <w:p>
            <w:pPr>
              <w:spacing w:after="40"/>
            </w:pPr>
            <w:r>
              <w:rPr>
                <w:rFonts w:ascii="Calibri" w:hAnsi="Calibri"/>
                <w:sz w:val="19"/>
              </w:rPr>
            </w:r>
            <w:r>
              <w:rPr>
                <w:rFonts w:ascii="Consolas" w:hAnsi="Consolas"/>
                <w:color w:val="800000"/>
                <w:sz w:val="19"/>
              </w:rPr>
              <w:t>Nombre</w:t>
            </w:r>
          </w:p>
        </w:tc>
        <w:tc>
          <w:tcPr>
            <w:tcW w:type="dxa" w:w="2268"/>
          </w:tcPr>
          <w:p>
            <w:pPr>
              <w:spacing w:after="40"/>
            </w:pPr>
            <w:r>
              <w:rPr>
                <w:rFonts w:ascii="Calibri" w:hAnsi="Calibri"/>
                <w:sz w:val="19"/>
              </w:rPr>
            </w:r>
            <w:r>
              <w:rPr>
                <w:rFonts w:ascii="Consolas" w:hAnsi="Consolas"/>
                <w:color w:val="800000"/>
                <w:sz w:val="19"/>
              </w:rPr>
              <w:t>serie_nombre</w:t>
            </w:r>
          </w:p>
        </w:tc>
        <w:tc>
          <w:tcPr>
            <w:tcW w:type="dxa" w:w="2268"/>
          </w:tcPr>
          <w:p>
            <w:pPr>
              <w:spacing w:after="40"/>
            </w:pPr>
            <w:r>
              <w:rPr>
                <w:rFonts w:ascii="Calibri" w:hAnsi="Calibri"/>
                <w:sz w:val="19"/>
              </w:rPr>
            </w:r>
            <w:r>
              <w:rPr>
                <w:rFonts w:ascii="Calibri" w:hAnsi="Calibri"/>
                <w:sz w:val="19"/>
              </w:rPr>
              <w:t xml:space="preserve">Dropped (parsed into </w:t>
            </w:r>
            <w:r>
              <w:rPr>
                <w:rFonts w:ascii="Consolas" w:hAnsi="Consolas"/>
                <w:color w:val="800000"/>
                <w:sz w:val="19"/>
              </w:rPr>
              <w:t>provincia</w:t>
            </w:r>
            <w:r>
              <w:rPr>
                <w:rFonts w:ascii="Calibri" w:hAnsi="Calibri"/>
                <w:sz w:val="19"/>
              </w:rPr>
              <w:t xml:space="preserve">, </w:t>
            </w:r>
            <w:r>
              <w:rPr>
                <w:rFonts w:ascii="Consolas" w:hAnsi="Consolas"/>
                <w:color w:val="800000"/>
                <w:sz w:val="19"/>
              </w:rPr>
              <w:t>sexo</w:t>
            </w:r>
            <w:r>
              <w:rPr>
                <w:rFonts w:ascii="Calibri" w:hAnsi="Calibri"/>
                <w:sz w:val="19"/>
              </w:rPr>
              <w:t xml:space="preserve">, </w:t>
            </w:r>
            <w:r>
              <w:rPr>
                <w:rFonts w:ascii="Consolas" w:hAnsi="Consolas"/>
                <w:color w:val="800000"/>
                <w:sz w:val="19"/>
              </w:rPr>
              <w:t>actividad</w:t>
            </w:r>
            <w:r>
              <w:rPr>
                <w:rFonts w:ascii="Calibri" w:hAnsi="Calibri"/>
                <w:sz w:val="19"/>
              </w:rPr>
              <w:t>)</w:t>
            </w:r>
          </w:p>
        </w:tc>
        <w:tc>
          <w:tcPr>
            <w:tcW w:type="dxa" w:w="2268"/>
          </w:tcPr>
          <w:p>
            <w:pPr>
              <w:spacing w:after="40"/>
            </w:pPr>
            <w:r>
              <w:rPr>
                <w:rFonts w:ascii="Calibri" w:hAnsi="Calibri"/>
                <w:sz w:val="19"/>
              </w:rPr>
            </w:r>
            <w:r>
              <w:rPr>
                <w:rFonts w:ascii="Calibri" w:hAnsi="Calibri"/>
                <w:sz w:val="19"/>
              </w:rPr>
              <w:t>Table-specific regex parsers</w:t>
            </w:r>
          </w:p>
        </w:tc>
      </w:tr>
      <w:tr>
        <w:tc>
          <w:tcPr>
            <w:tcW w:type="dxa" w:w="2268"/>
          </w:tcPr>
          <w:p>
            <w:pPr>
              <w:spacing w:after="40"/>
            </w:pPr>
            <w:r>
              <w:rPr>
                <w:rFonts w:ascii="Calibri" w:hAnsi="Calibri"/>
                <w:sz w:val="19"/>
              </w:rPr>
            </w:r>
            <w:r>
              <w:rPr>
                <w:rFonts w:ascii="Consolas" w:hAnsi="Consolas"/>
                <w:color w:val="800000"/>
                <w:sz w:val="19"/>
              </w:rPr>
              <w:t>FK_Unidad</w:t>
            </w:r>
          </w:p>
        </w:tc>
        <w:tc>
          <w:tcPr>
            <w:tcW w:type="dxa" w:w="2268"/>
          </w:tcPr>
          <w:p>
            <w:pPr>
              <w:spacing w:after="40"/>
            </w:pPr>
            <w:r>
              <w:rPr>
                <w:rFonts w:ascii="Calibri" w:hAnsi="Calibri"/>
                <w:sz w:val="19"/>
              </w:rPr>
            </w:r>
            <w:r>
              <w:rPr>
                <w:rFonts w:ascii="Calibri" w:hAnsi="Calibri"/>
                <w:sz w:val="19"/>
              </w:rPr>
              <w:t>Not extracted</w:t>
            </w:r>
          </w:p>
        </w:tc>
        <w:tc>
          <w:tcPr>
            <w:tcW w:type="dxa" w:w="2268"/>
          </w:tcPr>
          <w:p>
            <w:pPr>
              <w:spacing w:after="40"/>
            </w:pPr>
            <w:r>
              <w:rPr>
                <w:rFonts w:ascii="Calibri" w:hAnsi="Calibri"/>
                <w:sz w:val="19"/>
              </w:rPr>
            </w:r>
            <w:r>
              <w:rPr>
                <w:rFonts w:ascii="Calibri" w:hAnsi="Calibri"/>
                <w:sz w:val="19"/>
              </w:rPr>
              <w:t>—</w:t>
            </w:r>
          </w:p>
        </w:tc>
        <w:tc>
          <w:tcPr>
            <w:tcW w:type="dxa" w:w="2268"/>
          </w:tcPr>
          <w:p>
            <w:pPr>
              <w:spacing w:after="40"/>
            </w:pPr>
            <w:r>
              <w:rPr>
                <w:rFonts w:ascii="Calibri" w:hAnsi="Calibri"/>
                <w:sz w:val="19"/>
              </w:rPr>
            </w:r>
            <w:r>
              <w:rPr>
                <w:rFonts w:ascii="Calibri" w:hAnsi="Calibri"/>
                <w:sz w:val="19"/>
              </w:rPr>
              <w:t>Implicit in context</w:t>
            </w:r>
          </w:p>
        </w:tc>
      </w:tr>
      <w:tr>
        <w:tc>
          <w:tcPr>
            <w:tcW w:type="dxa" w:w="2268"/>
          </w:tcPr>
          <w:p>
            <w:pPr>
              <w:spacing w:after="40"/>
            </w:pPr>
            <w:r>
              <w:rPr>
                <w:rFonts w:ascii="Calibri" w:hAnsi="Calibri"/>
                <w:sz w:val="19"/>
              </w:rPr>
            </w:r>
            <w:r>
              <w:rPr>
                <w:rFonts w:ascii="Consolas" w:hAnsi="Consolas"/>
                <w:color w:val="800000"/>
                <w:sz w:val="19"/>
              </w:rPr>
              <w:t>FK_Escala</w:t>
            </w:r>
          </w:p>
        </w:tc>
        <w:tc>
          <w:tcPr>
            <w:tcW w:type="dxa" w:w="2268"/>
          </w:tcPr>
          <w:p>
            <w:pPr>
              <w:spacing w:after="40"/>
            </w:pPr>
            <w:r>
              <w:rPr>
                <w:rFonts w:ascii="Calibri" w:hAnsi="Calibri"/>
                <w:sz w:val="19"/>
              </w:rPr>
            </w:r>
            <w:r>
              <w:rPr>
                <w:rFonts w:ascii="Calibri" w:hAnsi="Calibri"/>
                <w:sz w:val="19"/>
              </w:rPr>
              <w:t>Not extracted</w:t>
            </w:r>
          </w:p>
        </w:tc>
        <w:tc>
          <w:tcPr>
            <w:tcW w:type="dxa" w:w="2268"/>
          </w:tcPr>
          <w:p>
            <w:pPr>
              <w:spacing w:after="40"/>
            </w:pPr>
            <w:r>
              <w:rPr>
                <w:rFonts w:ascii="Calibri" w:hAnsi="Calibri"/>
                <w:sz w:val="19"/>
              </w:rPr>
            </w:r>
            <w:r>
              <w:rPr>
                <w:rFonts w:ascii="Calibri" w:hAnsi="Calibri"/>
                <w:sz w:val="19"/>
              </w:rPr>
              <w:t>—</w:t>
            </w:r>
          </w:p>
        </w:tc>
        <w:tc>
          <w:tcPr>
            <w:tcW w:type="dxa" w:w="2268"/>
          </w:tcPr>
          <w:p>
            <w:pPr>
              <w:spacing w:after="40"/>
            </w:pPr>
            <w:r>
              <w:rPr>
                <w:rFonts w:ascii="Calibri" w:hAnsi="Calibri"/>
                <w:sz w:val="19"/>
              </w:rPr>
            </w:r>
            <w:r>
              <w:rPr>
                <w:rFonts w:ascii="Calibri" w:hAnsi="Calibri"/>
                <w:sz w:val="19"/>
              </w:rPr>
              <w:t>Implicit in context</w:t>
            </w:r>
          </w:p>
        </w:tc>
      </w:tr>
      <w:tr>
        <w:tc>
          <w:tcPr>
            <w:tcW w:type="dxa" w:w="2268"/>
          </w:tcPr>
          <w:p>
            <w:pPr>
              <w:spacing w:after="40"/>
            </w:pPr>
            <w:r>
              <w:rPr>
                <w:rFonts w:ascii="Calibri" w:hAnsi="Calibri"/>
                <w:sz w:val="19"/>
              </w:rPr>
            </w:r>
            <w:r>
              <w:rPr>
                <w:rFonts w:ascii="Consolas" w:hAnsi="Consolas"/>
                <w:color w:val="800000"/>
                <w:sz w:val="19"/>
              </w:rPr>
              <w:t>Fecha</w:t>
            </w:r>
          </w:p>
        </w:tc>
        <w:tc>
          <w:tcPr>
            <w:tcW w:type="dxa" w:w="2268"/>
          </w:tcPr>
          <w:p>
            <w:pPr>
              <w:spacing w:after="40"/>
            </w:pPr>
            <w:r>
              <w:rPr>
                <w:rFonts w:ascii="Calibri" w:hAnsi="Calibri"/>
                <w:sz w:val="19"/>
              </w:rPr>
            </w:r>
            <w:r>
              <w:rPr>
                <w:rFonts w:ascii="Consolas" w:hAnsi="Consolas"/>
                <w:color w:val="800000"/>
                <w:sz w:val="19"/>
              </w:rPr>
              <w:t>fecha_ms</w:t>
            </w:r>
          </w:p>
        </w:tc>
        <w:tc>
          <w:tcPr>
            <w:tcW w:type="dxa" w:w="2268"/>
          </w:tcPr>
          <w:p>
            <w:pPr>
              <w:spacing w:after="40"/>
            </w:pPr>
            <w:r>
              <w:rPr>
                <w:rFonts w:ascii="Calibri" w:hAnsi="Calibri"/>
                <w:sz w:val="19"/>
              </w:rPr>
            </w:r>
            <w:r>
              <w:rPr>
                <w:rFonts w:ascii="Consolas" w:hAnsi="Consolas"/>
                <w:color w:val="800000"/>
                <w:sz w:val="19"/>
              </w:rPr>
              <w:t>fecha</w:t>
            </w:r>
            <w:r>
              <w:rPr>
                <w:rFonts w:ascii="Calibri" w:hAnsi="Calibri"/>
                <w:sz w:val="19"/>
              </w:rPr>
              <w:t xml:space="preserve"> (datetime64)</w:t>
            </w:r>
          </w:p>
        </w:tc>
        <w:tc>
          <w:tcPr>
            <w:tcW w:type="dxa" w:w="2268"/>
          </w:tcPr>
          <w:p>
            <w:pPr>
              <w:spacing w:after="40"/>
            </w:pPr>
            <w:r>
              <w:rPr>
                <w:rFonts w:ascii="Calibri" w:hAnsi="Calibri"/>
                <w:sz w:val="19"/>
              </w:rPr>
            </w:r>
            <w:r>
              <w:rPr>
                <w:rFonts w:ascii="Consolas" w:hAnsi="Consolas"/>
                <w:color w:val="800000"/>
                <w:sz w:val="19"/>
              </w:rPr>
              <w:t>parse_fecha()</w:t>
            </w:r>
            <w:r>
              <w:rPr>
                <w:rFonts w:ascii="Calibri" w:hAnsi="Calibri"/>
                <w:sz w:val="19"/>
              </w:rPr>
              <w:t xml:space="preserve"> — ms timestamp → datetime</w:t>
            </w:r>
          </w:p>
        </w:tc>
      </w:tr>
      <w:tr>
        <w:tc>
          <w:tcPr>
            <w:tcW w:type="dxa" w:w="2268"/>
          </w:tcPr>
          <w:p>
            <w:pPr>
              <w:spacing w:after="40"/>
            </w:pPr>
            <w:r>
              <w:rPr>
                <w:rFonts w:ascii="Calibri" w:hAnsi="Calibri"/>
                <w:sz w:val="19"/>
              </w:rPr>
            </w:r>
            <w:r>
              <w:rPr>
                <w:rFonts w:ascii="Consolas" w:hAnsi="Consolas"/>
                <w:color w:val="800000"/>
                <w:sz w:val="19"/>
              </w:rPr>
              <w:t>FK_TipoDato</w:t>
            </w:r>
          </w:p>
        </w:tc>
        <w:tc>
          <w:tcPr>
            <w:tcW w:type="dxa" w:w="2268"/>
          </w:tcPr>
          <w:p>
            <w:pPr>
              <w:spacing w:after="40"/>
            </w:pPr>
            <w:r>
              <w:rPr>
                <w:rFonts w:ascii="Calibri" w:hAnsi="Calibri"/>
                <w:sz w:val="19"/>
              </w:rPr>
            </w:r>
            <w:r>
              <w:rPr>
                <w:rFonts w:ascii="Calibri" w:hAnsi="Calibri"/>
                <w:sz w:val="19"/>
              </w:rPr>
              <w:t>Not extracted</w:t>
            </w:r>
          </w:p>
        </w:tc>
        <w:tc>
          <w:tcPr>
            <w:tcW w:type="dxa" w:w="2268"/>
          </w:tcPr>
          <w:p>
            <w:pPr>
              <w:spacing w:after="40"/>
            </w:pPr>
            <w:r>
              <w:rPr>
                <w:rFonts w:ascii="Calibri" w:hAnsi="Calibri"/>
                <w:sz w:val="19"/>
              </w:rPr>
            </w:r>
            <w:r>
              <w:rPr>
                <w:rFonts w:ascii="Calibri" w:hAnsi="Calibri"/>
                <w:sz w:val="19"/>
              </w:rPr>
              <w:t>—</w:t>
            </w:r>
          </w:p>
        </w:tc>
        <w:tc>
          <w:tcPr>
            <w:tcW w:type="dxa" w:w="2268"/>
          </w:tcPr>
          <w:p>
            <w:pPr>
              <w:spacing w:after="40"/>
            </w:pPr>
            <w:r>
              <w:rPr>
                <w:rFonts w:ascii="Calibri" w:hAnsi="Calibri"/>
                <w:sz w:val="19"/>
              </w:rPr>
            </w:r>
            <w:r>
              <w:rPr>
                <w:rFonts w:ascii="Calibri" w:hAnsi="Calibri"/>
                <w:sz w:val="19"/>
              </w:rPr>
              <w:t>Always 1 in EPA</w:t>
            </w:r>
          </w:p>
        </w:tc>
      </w:tr>
      <w:tr>
        <w:tc>
          <w:tcPr>
            <w:tcW w:type="dxa" w:w="2268"/>
          </w:tcPr>
          <w:p>
            <w:pPr>
              <w:spacing w:after="40"/>
            </w:pPr>
            <w:r>
              <w:rPr>
                <w:rFonts w:ascii="Calibri" w:hAnsi="Calibri"/>
                <w:sz w:val="19"/>
              </w:rPr>
            </w:r>
            <w:r>
              <w:rPr>
                <w:rFonts w:ascii="Consolas" w:hAnsi="Consolas"/>
                <w:color w:val="800000"/>
                <w:sz w:val="19"/>
              </w:rPr>
              <w:t>FK_Periodo</w:t>
            </w:r>
          </w:p>
        </w:tc>
        <w:tc>
          <w:tcPr>
            <w:tcW w:type="dxa" w:w="2268"/>
          </w:tcPr>
          <w:p>
            <w:pPr>
              <w:spacing w:after="40"/>
            </w:pPr>
            <w:r>
              <w:rPr>
                <w:rFonts w:ascii="Calibri" w:hAnsi="Calibri"/>
                <w:sz w:val="19"/>
              </w:rPr>
            </w:r>
            <w:r>
              <w:rPr>
                <w:rFonts w:ascii="Consolas" w:hAnsi="Consolas"/>
                <w:color w:val="800000"/>
                <w:sz w:val="19"/>
              </w:rPr>
              <w:t>periodo_id</w:t>
            </w:r>
          </w:p>
        </w:tc>
        <w:tc>
          <w:tcPr>
            <w:tcW w:type="dxa" w:w="2268"/>
          </w:tcPr>
          <w:p>
            <w:pPr>
              <w:spacing w:after="40"/>
            </w:pPr>
            <w:r>
              <w:rPr>
                <w:rFonts w:ascii="Calibri" w:hAnsi="Calibri"/>
                <w:sz w:val="19"/>
              </w:rPr>
            </w:r>
            <w:r>
              <w:rPr>
                <w:rFonts w:ascii="Consolas" w:hAnsi="Consolas"/>
                <w:color w:val="800000"/>
                <w:sz w:val="19"/>
              </w:rPr>
              <w:t>periodo_id</w:t>
            </w:r>
            <w:r>
              <w:rPr>
                <w:rFonts w:ascii="Calibri" w:hAnsi="Calibri"/>
                <w:sz w:val="19"/>
              </w:rPr>
              <w:t xml:space="preserve"> + </w:t>
            </w:r>
            <w:r>
              <w:rPr>
                <w:rFonts w:ascii="Consolas" w:hAnsi="Consolas"/>
                <w:color w:val="800000"/>
                <w:sz w:val="19"/>
              </w:rPr>
              <w:t>trimestre_label</w:t>
            </w:r>
          </w:p>
        </w:tc>
        <w:tc>
          <w:tcPr>
            <w:tcW w:type="dxa" w:w="2268"/>
          </w:tcPr>
          <w:p>
            <w:pPr>
              <w:spacing w:after="40"/>
            </w:pPr>
            <w:r>
              <w:rPr>
                <w:rFonts w:ascii="Calibri" w:hAnsi="Calibri"/>
                <w:sz w:val="19"/>
              </w:rPr>
            </w:r>
            <w:r>
              <w:rPr>
                <w:rFonts w:ascii="Consolas" w:hAnsi="Consolas"/>
                <w:color w:val="800000"/>
                <w:sz w:val="19"/>
              </w:rPr>
              <w:t>PERIODO_MAP</w:t>
            </w:r>
            <w:r>
              <w:rPr>
                <w:rFonts w:ascii="Calibri" w:hAnsi="Calibri"/>
                <w:sz w:val="19"/>
              </w:rPr>
              <w:t>: 19→T4, 20→T1, 21→T2, 22→T3</w:t>
            </w:r>
          </w:p>
        </w:tc>
      </w:tr>
      <w:tr>
        <w:tc>
          <w:tcPr>
            <w:tcW w:type="dxa" w:w="2268"/>
          </w:tcPr>
          <w:p>
            <w:pPr>
              <w:spacing w:after="40"/>
            </w:pPr>
            <w:r>
              <w:rPr>
                <w:rFonts w:ascii="Calibri" w:hAnsi="Calibri"/>
                <w:sz w:val="19"/>
              </w:rPr>
            </w:r>
            <w:r>
              <w:rPr>
                <w:rFonts w:ascii="Consolas" w:hAnsi="Consolas"/>
                <w:color w:val="800000"/>
                <w:sz w:val="19"/>
              </w:rPr>
              <w:t>Anyo</w:t>
            </w:r>
          </w:p>
        </w:tc>
        <w:tc>
          <w:tcPr>
            <w:tcW w:type="dxa" w:w="2268"/>
          </w:tcPr>
          <w:p>
            <w:pPr>
              <w:spacing w:after="40"/>
            </w:pPr>
            <w:r>
              <w:rPr>
                <w:rFonts w:ascii="Calibri" w:hAnsi="Calibri"/>
                <w:sz w:val="19"/>
              </w:rPr>
            </w:r>
            <w:r>
              <w:rPr>
                <w:rFonts w:ascii="Consolas" w:hAnsi="Consolas"/>
                <w:color w:val="800000"/>
                <w:sz w:val="19"/>
              </w:rPr>
              <w:t>anyo</w:t>
            </w:r>
          </w:p>
        </w:tc>
        <w:tc>
          <w:tcPr>
            <w:tcW w:type="dxa" w:w="2268"/>
          </w:tcPr>
          <w:p>
            <w:pPr>
              <w:spacing w:after="40"/>
            </w:pPr>
            <w:r>
              <w:rPr>
                <w:rFonts w:ascii="Calibri" w:hAnsi="Calibri"/>
                <w:sz w:val="19"/>
              </w:rPr>
            </w:r>
            <w:r>
              <w:rPr>
                <w:rFonts w:ascii="Consolas" w:hAnsi="Consolas"/>
                <w:color w:val="800000"/>
                <w:sz w:val="19"/>
              </w:rPr>
              <w:t>anyo</w:t>
            </w:r>
            <w:r>
              <w:rPr>
                <w:rFonts w:ascii="Calibri" w:hAnsi="Calibri"/>
                <w:sz w:val="19"/>
              </w:rPr>
              <w:t xml:space="preserve"> + </w:t>
            </w:r>
            <w:r>
              <w:rPr>
                <w:rFonts w:ascii="Consolas" w:hAnsi="Consolas"/>
                <w:color w:val="800000"/>
                <w:sz w:val="19"/>
              </w:rPr>
              <w:t>year</w:t>
            </w:r>
          </w:p>
        </w:tc>
        <w:tc>
          <w:tcPr>
            <w:tcW w:type="dxa" w:w="2268"/>
          </w:tcPr>
          <w:p>
            <w:pPr>
              <w:spacing w:after="40"/>
            </w:pPr>
            <w:r>
              <w:rPr>
                <w:rFonts w:ascii="Calibri" w:hAnsi="Calibri"/>
                <w:sz w:val="19"/>
              </w:rPr>
            </w:r>
            <w:r>
              <w:rPr>
                <w:rFonts w:ascii="Calibri" w:hAnsi="Calibri"/>
                <w:sz w:val="19"/>
              </w:rPr>
              <w:t>Kept; also extracted as feature</w:t>
            </w:r>
          </w:p>
        </w:tc>
      </w:tr>
      <w:tr>
        <w:tc>
          <w:tcPr>
            <w:tcW w:type="dxa" w:w="2268"/>
          </w:tcPr>
          <w:p>
            <w:pPr>
              <w:spacing w:after="40"/>
            </w:pPr>
            <w:r>
              <w:rPr>
                <w:rFonts w:ascii="Calibri" w:hAnsi="Calibri"/>
                <w:sz w:val="19"/>
              </w:rPr>
            </w:r>
            <w:r>
              <w:rPr>
                <w:rFonts w:ascii="Consolas" w:hAnsi="Consolas"/>
                <w:color w:val="800000"/>
                <w:sz w:val="19"/>
              </w:rPr>
              <w:t>Valor</w:t>
            </w:r>
          </w:p>
        </w:tc>
        <w:tc>
          <w:tcPr>
            <w:tcW w:type="dxa" w:w="2268"/>
          </w:tcPr>
          <w:p>
            <w:pPr>
              <w:spacing w:after="40"/>
            </w:pPr>
            <w:r>
              <w:rPr>
                <w:rFonts w:ascii="Calibri" w:hAnsi="Calibri"/>
                <w:sz w:val="19"/>
              </w:rPr>
            </w:r>
            <w:r>
              <w:rPr>
                <w:rFonts w:ascii="Consolas" w:hAnsi="Consolas"/>
                <w:color w:val="800000"/>
                <w:sz w:val="19"/>
              </w:rPr>
              <w:t>valor</w:t>
            </w:r>
          </w:p>
        </w:tc>
        <w:tc>
          <w:tcPr>
            <w:tcW w:type="dxa" w:w="2268"/>
          </w:tcPr>
          <w:p>
            <w:pPr>
              <w:spacing w:after="40"/>
            </w:pPr>
            <w:r>
              <w:rPr>
                <w:rFonts w:ascii="Calibri" w:hAnsi="Calibri"/>
                <w:sz w:val="19"/>
              </w:rPr>
            </w:r>
            <w:r>
              <w:rPr>
                <w:rFonts w:ascii="Consolas" w:hAnsi="Consolas"/>
                <w:color w:val="800000"/>
                <w:sz w:val="19"/>
              </w:rPr>
              <w:t>valor</w:t>
            </w:r>
            <w:r>
              <w:rPr>
                <w:rFonts w:ascii="Calibri" w:hAnsi="Calibri"/>
                <w:sz w:val="19"/>
              </w:rPr>
              <w:t xml:space="preserve"> (float64)</w:t>
            </w:r>
          </w:p>
        </w:tc>
        <w:tc>
          <w:tcPr>
            <w:tcW w:type="dxa" w:w="2268"/>
          </w:tcPr>
          <w:p>
            <w:pPr>
              <w:spacing w:after="40"/>
            </w:pPr>
            <w:r>
              <w:rPr>
                <w:rFonts w:ascii="Calibri" w:hAnsi="Calibri"/>
                <w:sz w:val="19"/>
              </w:rPr>
            </w:r>
            <w:r>
              <w:rPr>
                <w:rFonts w:ascii="Calibri" w:hAnsi="Calibri"/>
                <w:sz w:val="19"/>
              </w:rPr>
              <w:t xml:space="preserve">Comma→dot + </w:t>
            </w:r>
            <w:r>
              <w:rPr>
                <w:rFonts w:ascii="Consolas" w:hAnsi="Consolas"/>
                <w:color w:val="800000"/>
                <w:sz w:val="19"/>
              </w:rPr>
              <w:t>pd.to_numeric</w:t>
            </w:r>
          </w:p>
        </w:tc>
      </w:tr>
      <w:tr>
        <w:tc>
          <w:tcPr>
            <w:tcW w:type="dxa" w:w="2268"/>
          </w:tcPr>
          <w:p>
            <w:pPr>
              <w:spacing w:after="40"/>
            </w:pPr>
            <w:r>
              <w:rPr>
                <w:rFonts w:ascii="Calibri" w:hAnsi="Calibri"/>
                <w:sz w:val="19"/>
              </w:rPr>
            </w:r>
            <w:r>
              <w:rPr>
                <w:rFonts w:ascii="Consolas" w:hAnsi="Consolas"/>
                <w:color w:val="800000"/>
                <w:sz w:val="19"/>
              </w:rPr>
              <w:t>Secreto</w:t>
            </w:r>
          </w:p>
        </w:tc>
        <w:tc>
          <w:tcPr>
            <w:tcW w:type="dxa" w:w="2268"/>
          </w:tcPr>
          <w:p>
            <w:pPr>
              <w:spacing w:after="40"/>
            </w:pPr>
            <w:r>
              <w:rPr>
                <w:rFonts w:ascii="Calibri" w:hAnsi="Calibri"/>
                <w:sz w:val="19"/>
              </w:rPr>
            </w:r>
            <w:r>
              <w:rPr>
                <w:rFonts w:ascii="Consolas" w:hAnsi="Consolas"/>
                <w:color w:val="800000"/>
                <w:sz w:val="19"/>
              </w:rPr>
              <w:t>secreto</w:t>
            </w:r>
          </w:p>
        </w:tc>
        <w:tc>
          <w:tcPr>
            <w:tcW w:type="dxa" w:w="2268"/>
          </w:tcPr>
          <w:p>
            <w:pPr>
              <w:spacing w:after="40"/>
            </w:pPr>
            <w:r>
              <w:rPr>
                <w:rFonts w:ascii="Calibri" w:hAnsi="Calibri"/>
                <w:sz w:val="19"/>
              </w:rPr>
            </w:r>
            <w:r>
              <w:rPr>
                <w:rFonts w:ascii="Calibri" w:hAnsi="Calibri"/>
                <w:sz w:val="19"/>
              </w:rPr>
              <w:t>Dropped</w:t>
            </w:r>
          </w:p>
        </w:tc>
        <w:tc>
          <w:tcPr>
            <w:tcW w:type="dxa" w:w="2268"/>
          </w:tcPr>
          <w:p>
            <w:pPr>
              <w:spacing w:after="40"/>
            </w:pPr>
            <w:r>
              <w:rPr>
                <w:rFonts w:ascii="Calibri" w:hAnsi="Calibri"/>
                <w:sz w:val="19"/>
              </w:rPr>
            </w:r>
            <w:r>
              <w:rPr>
                <w:rFonts w:ascii="Calibri" w:hAnsi="Calibri"/>
                <w:sz w:val="19"/>
              </w:rPr>
              <w:t>Not needed for analysis</w:t>
            </w:r>
          </w:p>
        </w:tc>
      </w:tr>
    </w:tbl>
    <w:p/>
    <w:p>
      <w:pPr>
        <w:pStyle w:val="Heading2"/>
      </w:pPr>
      <w:r>
        <w:t>4. Research Questions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pPr>
              <w:spacing w:after="40"/>
            </w:pPr>
            <w:r/>
            <w:r>
              <w:rPr>
                <w:rFonts w:ascii="Calibri" w:hAnsi="Calibri"/>
                <w:b/>
                <w:sz w:val="19"/>
              </w:rPr>
              <w:t>#</w:t>
            </w:r>
          </w:p>
        </w:tc>
        <w:tc>
          <w:tcPr>
            <w:tcW w:type="dxa" w:w="3024"/>
          </w:tcPr>
          <w:p>
            <w:pPr>
              <w:spacing w:after="40"/>
            </w:pPr>
            <w:r/>
            <w:r>
              <w:rPr>
                <w:rFonts w:ascii="Calibri" w:hAnsi="Calibri"/>
                <w:b/>
                <w:sz w:val="19"/>
              </w:rPr>
              <w:t>Question</w:t>
            </w:r>
          </w:p>
        </w:tc>
        <w:tc>
          <w:tcPr>
            <w:tcW w:type="dxa" w:w="3024"/>
          </w:tcPr>
          <w:p>
            <w:pPr>
              <w:spacing w:after="40"/>
            </w:pPr>
            <w:r/>
            <w:r>
              <w:rPr>
                <w:rFonts w:ascii="Calibri" w:hAnsi="Calibri"/>
                <w:b/>
                <w:sz w:val="19"/>
              </w:rPr>
              <w:t>Chart(s)</w:t>
            </w:r>
          </w:p>
        </w:tc>
      </w:tr>
      <w:tr>
        <w:tc>
          <w:tcPr>
            <w:tcW w:type="dxa" w:w="3024"/>
          </w:tcPr>
          <w:p>
            <w:pPr>
              <w:spacing w:after="40"/>
            </w:pPr>
            <w:r>
              <w:rPr>
                <w:rFonts w:ascii="Calibri" w:hAnsi="Calibri"/>
                <w:sz w:val="19"/>
              </w:rPr>
            </w:r>
            <w:r>
              <w:rPr>
                <w:rFonts w:ascii="Calibri" w:hAnsi="Calibri"/>
                <w:sz w:val="19"/>
              </w:rPr>
              <w:t>Q1</w:t>
            </w:r>
          </w:p>
        </w:tc>
        <w:tc>
          <w:tcPr>
            <w:tcW w:type="dxa" w:w="3024"/>
          </w:tcPr>
          <w:p>
            <w:pPr>
              <w:spacing w:after="40"/>
            </w:pPr>
            <w:r>
              <w:rPr>
                <w:rFonts w:ascii="Calibri" w:hAnsi="Calibri"/>
                <w:sz w:val="19"/>
              </w:rPr>
            </w:r>
            <w:r>
              <w:rPr>
                <w:rFonts w:ascii="Calibri" w:hAnsi="Calibri"/>
                <w:sz w:val="19"/>
              </w:rPr>
              <w:t>Which provinces have the highest and lowest unemployment rates? Has the ranking changed over 24 years?</w:t>
            </w:r>
          </w:p>
        </w:tc>
        <w:tc>
          <w:tcPr>
            <w:tcW w:type="dxa" w:w="3024"/>
          </w:tcPr>
          <w:p>
            <w:pPr>
              <w:spacing w:after="40"/>
            </w:pPr>
            <w:r>
              <w:rPr>
                <w:rFonts w:ascii="Calibri" w:hAnsi="Calibri"/>
                <w:sz w:val="19"/>
              </w:rPr>
            </w:r>
            <w:r>
              <w:rPr>
                <w:rFonts w:ascii="Calibri" w:hAnsi="Calibri"/>
                <w:sz w:val="19"/>
              </w:rPr>
              <w:t>1, 6</w:t>
            </w:r>
          </w:p>
        </w:tc>
      </w:tr>
      <w:tr>
        <w:tc>
          <w:tcPr>
            <w:tcW w:type="dxa" w:w="3024"/>
          </w:tcPr>
          <w:p>
            <w:pPr>
              <w:spacing w:after="40"/>
            </w:pPr>
            <w:r>
              <w:rPr>
                <w:rFonts w:ascii="Calibri" w:hAnsi="Calibri"/>
                <w:sz w:val="19"/>
              </w:rPr>
            </w:r>
            <w:r>
              <w:rPr>
                <w:rFonts w:ascii="Calibri" w:hAnsi="Calibri"/>
                <w:sz w:val="19"/>
              </w:rPr>
              <w:t>Q2</w:t>
            </w:r>
          </w:p>
        </w:tc>
        <w:tc>
          <w:tcPr>
            <w:tcW w:type="dxa" w:w="3024"/>
          </w:tcPr>
          <w:p>
            <w:pPr>
              <w:spacing w:after="40"/>
            </w:pPr>
            <w:r>
              <w:rPr>
                <w:rFonts w:ascii="Calibri" w:hAnsi="Calibri"/>
                <w:sz w:val="19"/>
              </w:rPr>
            </w:r>
            <w:r>
              <w:rPr>
                <w:rFonts w:ascii="Calibri" w:hAnsi="Calibri"/>
                <w:sz w:val="19"/>
              </w:rPr>
              <w:t>Is there a gender gap in activity, employment, and unemployment rates? Does it vary by province?</w:t>
            </w:r>
          </w:p>
        </w:tc>
        <w:tc>
          <w:tcPr>
            <w:tcW w:type="dxa" w:w="3024"/>
          </w:tcPr>
          <w:p>
            <w:pPr>
              <w:spacing w:after="40"/>
            </w:pPr>
            <w:r>
              <w:rPr>
                <w:rFonts w:ascii="Calibri" w:hAnsi="Calibri"/>
                <w:sz w:val="19"/>
              </w:rPr>
            </w:r>
            <w:r>
              <w:rPr>
                <w:rFonts w:ascii="Calibri" w:hAnsi="Calibri"/>
                <w:sz w:val="19"/>
              </w:rPr>
              <w:t>2</w:t>
            </w:r>
          </w:p>
        </w:tc>
      </w:tr>
      <w:tr>
        <w:tc>
          <w:tcPr>
            <w:tcW w:type="dxa" w:w="3024"/>
          </w:tcPr>
          <w:p>
            <w:pPr>
              <w:spacing w:after="40"/>
            </w:pPr>
            <w:r>
              <w:rPr>
                <w:rFonts w:ascii="Calibri" w:hAnsi="Calibri"/>
                <w:sz w:val="19"/>
              </w:rPr>
            </w:r>
            <w:r>
              <w:rPr>
                <w:rFonts w:ascii="Calibri" w:hAnsi="Calibri"/>
                <w:sz w:val="19"/>
              </w:rPr>
              <w:t>Q3</w:t>
            </w:r>
          </w:p>
        </w:tc>
        <w:tc>
          <w:tcPr>
            <w:tcW w:type="dxa" w:w="3024"/>
          </w:tcPr>
          <w:p>
            <w:pPr>
              <w:spacing w:after="40"/>
            </w:pPr>
            <w:r>
              <w:rPr>
                <w:rFonts w:ascii="Calibri" w:hAnsi="Calibri"/>
                <w:sz w:val="19"/>
              </w:rPr>
            </w:r>
            <w:r>
              <w:rPr>
                <w:rFonts w:ascii="Calibri" w:hAnsi="Calibri"/>
                <w:sz w:val="19"/>
              </w:rPr>
              <w:t>How is employment distributed by economic sector and how does it vary geographically?</w:t>
            </w:r>
          </w:p>
        </w:tc>
        <w:tc>
          <w:tcPr>
            <w:tcW w:type="dxa" w:w="3024"/>
          </w:tcPr>
          <w:p>
            <w:pPr>
              <w:spacing w:after="40"/>
            </w:pPr>
            <w:r>
              <w:rPr>
                <w:rFonts w:ascii="Calibri" w:hAnsi="Calibri"/>
                <w:sz w:val="19"/>
              </w:rPr>
            </w:r>
            <w:r>
              <w:rPr>
                <w:rFonts w:ascii="Calibri" w:hAnsi="Calibri"/>
                <w:sz w:val="19"/>
              </w:rPr>
              <w:t>3</w:t>
            </w:r>
          </w:p>
        </w:tc>
      </w:tr>
      <w:tr>
        <w:tc>
          <w:tcPr>
            <w:tcW w:type="dxa" w:w="3024"/>
          </w:tcPr>
          <w:p>
            <w:pPr>
              <w:spacing w:after="40"/>
            </w:pPr>
            <w:r>
              <w:rPr>
                <w:rFonts w:ascii="Calibri" w:hAnsi="Calibri"/>
                <w:sz w:val="19"/>
              </w:rPr>
            </w:r>
            <w:r>
              <w:rPr>
                <w:rFonts w:ascii="Calibri" w:hAnsi="Calibri"/>
                <w:sz w:val="19"/>
              </w:rPr>
              <w:t>Q4</w:t>
            </w:r>
          </w:p>
        </w:tc>
        <w:tc>
          <w:tcPr>
            <w:tcW w:type="dxa" w:w="3024"/>
          </w:tcPr>
          <w:p>
            <w:pPr>
              <w:spacing w:after="40"/>
            </w:pPr>
            <w:r>
              <w:rPr>
                <w:rFonts w:ascii="Calibri" w:hAnsi="Calibri"/>
                <w:sz w:val="19"/>
              </w:rPr>
            </w:r>
            <w:r>
              <w:rPr>
                <w:rFonts w:ascii="Calibri" w:hAnsi="Calibri"/>
                <w:sz w:val="19"/>
              </w:rPr>
              <w:t>How has total employment evolved over the analysis period?</w:t>
            </w:r>
          </w:p>
        </w:tc>
        <w:tc>
          <w:tcPr>
            <w:tcW w:type="dxa" w:w="3024"/>
          </w:tcPr>
          <w:p>
            <w:pPr>
              <w:spacing w:after="40"/>
            </w:pPr>
            <w:r>
              <w:rPr>
                <w:rFonts w:ascii="Calibri" w:hAnsi="Calibri"/>
                <w:sz w:val="19"/>
              </w:rPr>
            </w:r>
            <w:r>
              <w:rPr>
                <w:rFonts w:ascii="Calibri" w:hAnsi="Calibri"/>
                <w:sz w:val="19"/>
              </w:rPr>
              <w:t>4, 5</w:t>
            </w:r>
          </w:p>
        </w:tc>
      </w:tr>
      <w:tr>
        <w:tc>
          <w:tcPr>
            <w:tcW w:type="dxa" w:w="3024"/>
          </w:tcPr>
          <w:p>
            <w:pPr>
              <w:spacing w:after="40"/>
            </w:pPr>
            <w:r>
              <w:rPr>
                <w:rFonts w:ascii="Calibri" w:hAnsi="Calibri"/>
                <w:sz w:val="19"/>
              </w:rPr>
            </w:r>
            <w:r>
              <w:rPr>
                <w:rFonts w:ascii="Calibri" w:hAnsi="Calibri"/>
                <w:sz w:val="19"/>
              </w:rPr>
              <w:t>Q5</w:t>
            </w:r>
          </w:p>
        </w:tc>
        <w:tc>
          <w:tcPr>
            <w:tcW w:type="dxa" w:w="3024"/>
          </w:tcPr>
          <w:p>
            <w:pPr>
              <w:spacing w:after="40"/>
            </w:pPr>
            <w:r>
              <w:rPr>
                <w:rFonts w:ascii="Calibri" w:hAnsi="Calibri"/>
                <w:sz w:val="19"/>
              </w:rPr>
            </w:r>
            <w:r>
              <w:rPr>
                <w:rFonts w:ascii="Calibri" w:hAnsi="Calibri"/>
                <w:sz w:val="19"/>
              </w:rPr>
              <w:t>Is there quarterly seasonality in employment/unemployment? Does it affect some provinces more?</w:t>
            </w:r>
          </w:p>
        </w:tc>
        <w:tc>
          <w:tcPr>
            <w:tcW w:type="dxa" w:w="3024"/>
          </w:tcPr>
          <w:p>
            <w:pPr>
              <w:spacing w:after="40"/>
            </w:pPr>
            <w:r>
              <w:rPr>
                <w:rFonts w:ascii="Calibri" w:hAnsi="Calibri"/>
                <w:sz w:val="19"/>
              </w:rPr>
            </w:r>
            <w:r>
              <w:rPr>
                <w:rFonts w:ascii="Calibri" w:hAnsi="Calibri"/>
                <w:sz w:val="19"/>
              </w:rPr>
              <w:t>6</w:t>
            </w:r>
          </w:p>
        </w:tc>
      </w:tr>
      <w:tr>
        <w:tc>
          <w:tcPr>
            <w:tcW w:type="dxa" w:w="3024"/>
          </w:tcPr>
          <w:p>
            <w:pPr>
              <w:spacing w:after="40"/>
            </w:pPr>
            <w:r>
              <w:rPr>
                <w:rFonts w:ascii="Calibri" w:hAnsi="Calibri"/>
                <w:sz w:val="19"/>
              </w:rPr>
            </w:r>
            <w:r>
              <w:rPr>
                <w:rFonts w:ascii="Calibri" w:hAnsi="Calibri"/>
                <w:sz w:val="19"/>
              </w:rPr>
              <w:t>Q6</w:t>
            </w:r>
          </w:p>
        </w:tc>
        <w:tc>
          <w:tcPr>
            <w:tcW w:type="dxa" w:w="3024"/>
          </w:tcPr>
          <w:p>
            <w:pPr>
              <w:spacing w:after="40"/>
            </w:pPr>
            <w:r>
              <w:rPr>
                <w:rFonts w:ascii="Calibri" w:hAnsi="Calibri"/>
                <w:sz w:val="19"/>
              </w:rPr>
            </w:r>
            <w:r>
              <w:rPr>
                <w:rFonts w:ascii="Calibri" w:hAnsi="Calibri"/>
                <w:sz w:val="19"/>
              </w:rPr>
              <w:t>How does the unemployment rate vary by age group? Are there differences by sex?</w:t>
            </w:r>
          </w:p>
        </w:tc>
        <w:tc>
          <w:tcPr>
            <w:tcW w:type="dxa" w:w="3024"/>
          </w:tcPr>
          <w:p>
            <w:pPr>
              <w:spacing w:after="40"/>
            </w:pPr>
            <w:r>
              <w:rPr>
                <w:rFonts w:ascii="Calibri" w:hAnsi="Calibri"/>
                <w:sz w:val="19"/>
              </w:rPr>
            </w:r>
            <w:r>
              <w:rPr>
                <w:rFonts w:ascii="Calibri" w:hAnsi="Calibri"/>
                <w:sz w:val="19"/>
              </w:rPr>
              <w:t>7</w:t>
            </w:r>
          </w:p>
        </w:tc>
      </w:tr>
      <w:tr>
        <w:tc>
          <w:tcPr>
            <w:tcW w:type="dxa" w:w="3024"/>
          </w:tcPr>
          <w:p>
            <w:pPr>
              <w:spacing w:after="40"/>
            </w:pPr>
            <w:r>
              <w:rPr>
                <w:rFonts w:ascii="Calibri" w:hAnsi="Calibri"/>
                <w:sz w:val="19"/>
              </w:rPr>
            </w:r>
            <w:r>
              <w:rPr>
                <w:rFonts w:ascii="Calibri" w:hAnsi="Calibri"/>
                <w:sz w:val="19"/>
              </w:rPr>
              <w:t>Q7</w:t>
            </w:r>
          </w:p>
        </w:tc>
        <w:tc>
          <w:tcPr>
            <w:tcW w:type="dxa" w:w="3024"/>
          </w:tcPr>
          <w:p>
            <w:pPr>
              <w:spacing w:after="40"/>
            </w:pPr>
            <w:r>
              <w:rPr>
                <w:rFonts w:ascii="Calibri" w:hAnsi="Calibri"/>
                <w:sz w:val="19"/>
              </w:rPr>
            </w:r>
            <w:r>
              <w:rPr>
                <w:rFonts w:ascii="Calibri" w:hAnsi="Calibri"/>
                <w:sz w:val="19"/>
              </w:rPr>
              <w:t>How has youth unemployment (16–19 and 20–24) evolved compared to the total rate?</w:t>
            </w:r>
          </w:p>
        </w:tc>
        <w:tc>
          <w:tcPr>
            <w:tcW w:type="dxa" w:w="3024"/>
          </w:tcPr>
          <w:p>
            <w:pPr>
              <w:spacing w:after="40"/>
            </w:pPr>
            <w:r>
              <w:rPr>
                <w:rFonts w:ascii="Calibri" w:hAnsi="Calibri"/>
                <w:sz w:val="19"/>
              </w:rPr>
            </w:r>
            <w:r>
              <w:rPr>
                <w:rFonts w:ascii="Calibri" w:hAnsi="Calibri"/>
                <w:sz w:val="19"/>
              </w:rPr>
              <w:t>8</w:t>
            </w:r>
          </w:p>
        </w:tc>
      </w:tr>
      <w:tr>
        <w:tc>
          <w:tcPr>
            <w:tcW w:type="dxa" w:w="3024"/>
          </w:tcPr>
          <w:p>
            <w:pPr>
              <w:spacing w:after="40"/>
            </w:pPr>
            <w:r>
              <w:rPr>
                <w:rFonts w:ascii="Calibri" w:hAnsi="Calibri"/>
                <w:sz w:val="19"/>
              </w:rPr>
            </w:r>
            <w:r>
              <w:rPr>
                <w:rFonts w:ascii="Calibri" w:hAnsi="Calibri"/>
                <w:sz w:val="19"/>
              </w:rPr>
              <w:t>Q8</w:t>
            </w:r>
          </w:p>
        </w:tc>
        <w:tc>
          <w:tcPr>
            <w:tcW w:type="dxa" w:w="3024"/>
          </w:tcPr>
          <w:p>
            <w:pPr>
              <w:spacing w:after="40"/>
            </w:pPr>
            <w:r>
              <w:rPr>
                <w:rFonts w:ascii="Calibri" w:hAnsi="Calibri"/>
                <w:sz w:val="19"/>
              </w:rPr>
            </w:r>
            <w:r>
              <w:rPr>
                <w:rFonts w:ascii="Calibri" w:hAnsi="Calibri"/>
                <w:sz w:val="19"/>
              </w:rPr>
              <w:t>Is there an unemployment gap between Spanish and foreign workers? Does it vary by age group?</w:t>
            </w:r>
          </w:p>
        </w:tc>
        <w:tc>
          <w:tcPr>
            <w:tcW w:type="dxa" w:w="3024"/>
          </w:tcPr>
          <w:p>
            <w:pPr>
              <w:spacing w:after="40"/>
            </w:pPr>
            <w:r>
              <w:rPr>
                <w:rFonts w:ascii="Calibri" w:hAnsi="Calibri"/>
                <w:sz w:val="19"/>
              </w:rPr>
            </w:r>
            <w:r>
              <w:rPr>
                <w:rFonts w:ascii="Calibri" w:hAnsi="Calibri"/>
                <w:sz w:val="19"/>
              </w:rPr>
              <w:t>9</w:t>
            </w:r>
          </w:p>
        </w:tc>
      </w:tr>
    </w:tbl>
    <w:p/>
    <w:p>
      <w:pPr>
        <w:pStyle w:val="Heading2"/>
      </w:pPr>
      <w:r>
        <w:t>5. Methodology</w:t>
      </w:r>
    </w:p>
    <w:p>
      <w:pPr>
        <w:pStyle w:val="Heading3"/>
      </w:pPr>
      <w:r>
        <w:t>5.1 Data Acquisition</w:t>
      </w:r>
    </w:p>
    <w:p>
      <w:r>
        <w:t xml:space="preserve">Data was retrieved programmatically via HTTP GET requests to the INE REST API using the Python </w:t>
      </w:r>
      <w:r>
        <w:rPr>
          <w:rFonts w:ascii="Consolas" w:hAnsi="Consolas"/>
          <w:color w:val="800000"/>
          <w:sz w:val="19"/>
        </w:rPr>
        <w:t>requests</w:t>
      </w:r>
      <w:r>
        <w:t xml:space="preserve"> library. The </w:t>
      </w:r>
      <w:r>
        <w:rPr>
          <w:rFonts w:ascii="Consolas" w:hAnsi="Consolas"/>
          <w:color w:val="800000"/>
          <w:sz w:val="19"/>
        </w:rPr>
        <w:t>fetch_data.py</w:t>
      </w:r>
      <w:r>
        <w:t xml:space="preserve"> script accepts </w:t>
      </w:r>
      <w:r>
        <w:rPr>
          <w:rFonts w:ascii="Consolas" w:hAnsi="Consolas"/>
          <w:color w:val="800000"/>
          <w:sz w:val="19"/>
        </w:rPr>
        <w:t>--start</w:t>
      </w:r>
      <w:r>
        <w:t xml:space="preserve"> and </w:t>
      </w:r>
      <w:r>
        <w:rPr>
          <w:rFonts w:ascii="Consolas" w:hAnsi="Consolas"/>
          <w:color w:val="800000"/>
          <w:sz w:val="19"/>
        </w:rPr>
        <w:t>--end</w:t>
      </w:r>
      <w:r>
        <w:t xml:space="preserve"> parameters to define the year range, and queries each table using the date range parameter (</w:t>
      </w:r>
      <w:r>
        <w:rPr>
          <w:rFonts w:ascii="Consolas" w:hAnsi="Consolas"/>
          <w:color w:val="800000"/>
          <w:sz w:val="19"/>
        </w:rPr>
        <w:t>date=YYYYMMDD:YYYYMMDD</w:t>
      </w:r>
      <w:r>
        <w:t xml:space="preserve">). The EPA publishes quarterly data since 2002; if a start year earlier than 2002 is specified, the API silently returns data from 2002 onwards without generating an error. Raw JSON responses are preserved in </w:t>
      </w:r>
      <w:r>
        <w:rPr>
          <w:rFonts w:ascii="Consolas" w:hAnsi="Consolas"/>
          <w:color w:val="800000"/>
          <w:sz w:val="19"/>
        </w:rPr>
        <w:t>data/raw/</w:t>
      </w:r>
      <w:r>
        <w:t xml:space="preserve"> for reproducibility. The script includes automatic retries (3 attempts with exponential backoff) and a 1-second courtesy delay between requests.</w:t>
      </w:r>
    </w:p>
    <w:p>
      <w:r>
        <w:t xml:space="preserve">The three main tables (65345, 65349, 65354) are combined into a single CSV file. For the extended analysis of unemployment by age and nationality (Charts 7–9), three additional tables are fetched and saved as standalone JSON. Since the INE does not publish a single table with unemployment rates crossed by both nationality and age, Tables 65086 and 65112 are merged by matching on nationality × sex × age group × quarter, and the unemployment rate is derived as </w:t>
      </w:r>
      <w:r>
        <w:rPr>
          <w:rFonts w:ascii="Consolas" w:hAnsi="Consolas"/>
          <w:color w:val="800000"/>
          <w:sz w:val="19"/>
        </w:rPr>
        <w:t>(activos − ocupados) / activos × 100</w:t>
      </w:r>
      <w:r>
        <w:t>.</w:t>
      </w:r>
    </w:p>
    <w:p>
      <w:pPr>
        <w:pStyle w:val="Heading3"/>
      </w:pPr>
      <w:r>
        <w:t>5.2 Data Quality Assessment</w:t>
      </w:r>
    </w:p>
    <w:p>
      <w:r>
        <w:t>An initial quality check (QC) was performed on the raw CSV by the notebook (cells 2–5), revealing the following issues:</w:t>
      </w:r>
    </w:p>
    <w:tbl>
      <w:tblPr>
        <w:tblStyle w:val="LightGrid-Accent1"/>
        <w:tblW w:type="auto" w:w="0"/>
        <w:jc w:val="center"/>
        <w:tblLook w:firstColumn="1" w:firstRow="1" w:lastColumn="0" w:lastRow="0" w:noHBand="0" w:noVBand="1" w:val="04A0"/>
      </w:tblPr>
      <w:tblGrid>
        <w:gridCol w:w="4536"/>
        <w:gridCol w:w="4536"/>
      </w:tblGrid>
      <w:tr>
        <w:tc>
          <w:tcPr>
            <w:tcW w:type="dxa" w:w="4536"/>
          </w:tcPr>
          <w:p>
            <w:pPr>
              <w:spacing w:after="40"/>
            </w:pPr>
            <w:r/>
            <w:r>
              <w:rPr>
                <w:rFonts w:ascii="Calibri" w:hAnsi="Calibri"/>
                <w:b/>
                <w:sz w:val="19"/>
              </w:rPr>
              <w:t>Check</w:t>
            </w:r>
          </w:p>
        </w:tc>
        <w:tc>
          <w:tcPr>
            <w:tcW w:type="dxa" w:w="4536"/>
          </w:tcPr>
          <w:p>
            <w:pPr>
              <w:spacing w:after="40"/>
            </w:pPr>
            <w:r/>
            <w:r>
              <w:rPr>
                <w:rFonts w:ascii="Calibri" w:hAnsi="Calibri"/>
                <w:b/>
                <w:sz w:val="19"/>
              </w:rPr>
              <w:t>Finding</w:t>
            </w:r>
          </w:p>
        </w:tc>
      </w:tr>
      <w:tr>
        <w:tc>
          <w:tcPr>
            <w:tcW w:type="dxa" w:w="4536"/>
          </w:tcPr>
          <w:p>
            <w:pPr>
              <w:spacing w:after="40"/>
            </w:pPr>
            <w:r>
              <w:rPr>
                <w:rFonts w:ascii="Calibri" w:hAnsi="Calibri"/>
                <w:sz w:val="19"/>
              </w:rPr>
            </w:r>
            <w:r>
              <w:rPr>
                <w:rFonts w:ascii="Consolas" w:hAnsi="Consolas"/>
                <w:color w:val="800000"/>
                <w:sz w:val="19"/>
              </w:rPr>
              <w:t>head()</w:t>
            </w:r>
            <w:r>
              <w:rPr>
                <w:rFonts w:ascii="Calibri" w:hAnsi="Calibri"/>
                <w:sz w:val="19"/>
              </w:rPr>
              <w:t xml:space="preserve"> / </w:t>
            </w:r>
            <w:r>
              <w:rPr>
                <w:rFonts w:ascii="Consolas" w:hAnsi="Consolas"/>
                <w:color w:val="800000"/>
                <w:sz w:val="19"/>
              </w:rPr>
              <w:t>shape</w:t>
            </w:r>
          </w:p>
        </w:tc>
        <w:tc>
          <w:tcPr>
            <w:tcW w:type="dxa" w:w="4536"/>
          </w:tcPr>
          <w:p>
            <w:pPr>
              <w:spacing w:after="40"/>
            </w:pPr>
            <w:r>
              <w:rPr>
                <w:rFonts w:ascii="Calibri" w:hAnsi="Calibri"/>
                <w:sz w:val="19"/>
              </w:rPr>
            </w:r>
            <w:r>
              <w:rPr>
                <w:rFonts w:ascii="Calibri" w:hAnsi="Calibri"/>
                <w:sz w:val="19"/>
              </w:rPr>
              <w:t>~156,500 rows × 8 columns</w:t>
            </w:r>
          </w:p>
        </w:tc>
      </w:tr>
      <w:tr>
        <w:tc>
          <w:tcPr>
            <w:tcW w:type="dxa" w:w="4536"/>
          </w:tcPr>
          <w:p>
            <w:pPr>
              <w:spacing w:after="40"/>
            </w:pPr>
            <w:r>
              <w:rPr>
                <w:rFonts w:ascii="Calibri" w:hAnsi="Calibri"/>
                <w:sz w:val="19"/>
              </w:rPr>
            </w:r>
            <w:r>
              <w:rPr>
                <w:rFonts w:ascii="Consolas" w:hAnsi="Consolas"/>
                <w:color w:val="800000"/>
                <w:sz w:val="19"/>
              </w:rPr>
              <w:t>info()</w:t>
            </w:r>
            <w:r>
              <w:rPr>
                <w:rFonts w:ascii="Calibri" w:hAnsi="Calibri"/>
                <w:sz w:val="19"/>
              </w:rPr>
              <w:t xml:space="preserve"> / </w:t>
            </w:r>
            <w:r>
              <w:rPr>
                <w:rFonts w:ascii="Consolas" w:hAnsi="Consolas"/>
                <w:color w:val="800000"/>
                <w:sz w:val="19"/>
              </w:rPr>
              <w:t>dtypes</w:t>
            </w:r>
          </w:p>
        </w:tc>
        <w:tc>
          <w:tcPr>
            <w:tcW w:type="dxa" w:w="4536"/>
          </w:tcPr>
          <w:p>
            <w:pPr>
              <w:spacing w:after="40"/>
            </w:pPr>
            <w:r>
              <w:rPr>
                <w:rFonts w:ascii="Calibri" w:hAnsi="Calibri"/>
                <w:sz w:val="19"/>
              </w:rPr>
            </w:r>
            <w:r>
              <w:rPr>
                <w:rFonts w:ascii="Consolas" w:hAnsi="Consolas"/>
                <w:color w:val="800000"/>
                <w:sz w:val="19"/>
              </w:rPr>
              <w:t>valor</w:t>
            </w:r>
            <w:r>
              <w:rPr>
                <w:rFonts w:ascii="Calibri" w:hAnsi="Calibri"/>
                <w:sz w:val="19"/>
              </w:rPr>
              <w:t xml:space="preserve"> is object (not numeric); </w:t>
            </w:r>
            <w:r>
              <w:rPr>
                <w:rFonts w:ascii="Consolas" w:hAnsi="Consolas"/>
                <w:color w:val="800000"/>
                <w:sz w:val="19"/>
              </w:rPr>
              <w:t>fecha</w:t>
            </w:r>
            <w:r>
              <w:rPr>
                <w:rFonts w:ascii="Calibri" w:hAnsi="Calibri"/>
                <w:sz w:val="19"/>
              </w:rPr>
              <w:t xml:space="preserve"> is object</w:t>
            </w:r>
          </w:p>
        </w:tc>
      </w:tr>
      <w:tr>
        <w:tc>
          <w:tcPr>
            <w:tcW w:type="dxa" w:w="4536"/>
          </w:tcPr>
          <w:p>
            <w:pPr>
              <w:spacing w:after="40"/>
            </w:pPr>
            <w:r>
              <w:rPr>
                <w:rFonts w:ascii="Calibri" w:hAnsi="Calibri"/>
                <w:sz w:val="19"/>
              </w:rPr>
            </w:r>
            <w:r>
              <w:rPr>
                <w:rFonts w:ascii="Calibri" w:hAnsi="Calibri"/>
                <w:sz w:val="19"/>
              </w:rPr>
              <w:t>Null rates</w:t>
            </w:r>
          </w:p>
        </w:tc>
        <w:tc>
          <w:tcPr>
            <w:tcW w:type="dxa" w:w="4536"/>
          </w:tcPr>
          <w:p>
            <w:pPr>
              <w:spacing w:after="40"/>
            </w:pPr>
            <w:r>
              <w:rPr>
                <w:rFonts w:ascii="Calibri" w:hAnsi="Calibri"/>
                <w:sz w:val="19"/>
              </w:rPr>
            </w:r>
            <w:r>
              <w:rPr>
                <w:rFonts w:ascii="Calibri" w:hAnsi="Calibri"/>
                <w:sz w:val="19"/>
              </w:rPr>
              <w:t xml:space="preserve">~3% nulls in </w:t>
            </w:r>
            <w:r>
              <w:rPr>
                <w:rFonts w:ascii="Consolas" w:hAnsi="Consolas"/>
                <w:color w:val="800000"/>
                <w:sz w:val="19"/>
              </w:rPr>
              <w:t>valor</w:t>
            </w:r>
            <w:r>
              <w:rPr>
                <w:rFonts w:ascii="Calibri" w:hAnsi="Calibri"/>
                <w:sz w:val="19"/>
              </w:rPr>
              <w:t xml:space="preserve">; minor nulls in </w:t>
            </w:r>
            <w:r>
              <w:rPr>
                <w:rFonts w:ascii="Consolas" w:hAnsi="Consolas"/>
                <w:color w:val="800000"/>
                <w:sz w:val="19"/>
              </w:rPr>
              <w:t>fecha</w:t>
            </w:r>
          </w:p>
        </w:tc>
      </w:tr>
      <w:tr>
        <w:tc>
          <w:tcPr>
            <w:tcW w:type="dxa" w:w="4536"/>
          </w:tcPr>
          <w:p>
            <w:pPr>
              <w:spacing w:after="40"/>
            </w:pPr>
            <w:r>
              <w:rPr>
                <w:rFonts w:ascii="Calibri" w:hAnsi="Calibri"/>
                <w:sz w:val="19"/>
              </w:rPr>
            </w:r>
            <w:r>
              <w:rPr>
                <w:rFonts w:ascii="Calibri" w:hAnsi="Calibri"/>
                <w:sz w:val="19"/>
              </w:rPr>
              <w:t>Duplicates</w:t>
            </w:r>
          </w:p>
        </w:tc>
        <w:tc>
          <w:tcPr>
            <w:tcW w:type="dxa" w:w="4536"/>
          </w:tcPr>
          <w:p>
            <w:pPr>
              <w:spacing w:after="40"/>
            </w:pPr>
            <w:r>
              <w:rPr>
                <w:rFonts w:ascii="Calibri" w:hAnsi="Calibri"/>
                <w:sz w:val="19"/>
              </w:rPr>
            </w:r>
            <w:r>
              <w:rPr>
                <w:rFonts w:ascii="Calibri" w:hAnsi="Calibri"/>
                <w:sz w:val="19"/>
              </w:rPr>
              <w:t>Exact duplicate rows present</w:t>
            </w:r>
          </w:p>
        </w:tc>
      </w:tr>
      <w:tr>
        <w:tc>
          <w:tcPr>
            <w:tcW w:type="dxa" w:w="4536"/>
          </w:tcPr>
          <w:p>
            <w:pPr>
              <w:spacing w:after="40"/>
            </w:pPr>
            <w:r>
              <w:rPr>
                <w:rFonts w:ascii="Calibri" w:hAnsi="Calibri"/>
                <w:sz w:val="19"/>
              </w:rPr>
            </w:r>
            <w:r>
              <w:rPr>
                <w:rFonts w:ascii="Calibri" w:hAnsi="Calibri"/>
                <w:sz w:val="19"/>
              </w:rPr>
              <w:t>Cardinality</w:t>
            </w:r>
          </w:p>
        </w:tc>
        <w:tc>
          <w:tcPr>
            <w:tcW w:type="dxa" w:w="4536"/>
          </w:tcPr>
          <w:p>
            <w:pPr>
              <w:spacing w:after="40"/>
            </w:pPr>
            <w:r>
              <w:rPr>
                <w:rFonts w:ascii="Calibri" w:hAnsi="Calibri"/>
                <w:sz w:val="19"/>
              </w:rPr>
            </w:r>
            <w:r>
              <w:rPr>
                <w:rFonts w:ascii="Consolas" w:hAnsi="Consolas"/>
                <w:color w:val="800000"/>
                <w:sz w:val="19"/>
              </w:rPr>
              <w:t>serie_nombre</w:t>
            </w:r>
            <w:r>
              <w:rPr>
                <w:rFonts w:ascii="Calibri" w:hAnsi="Calibri"/>
                <w:sz w:val="19"/>
              </w:rPr>
              <w:t xml:space="preserve"> has thousands of unique values due to mixed casing</w:t>
            </w:r>
          </w:p>
        </w:tc>
      </w:tr>
    </w:tbl>
    <w:p/>
    <w:p>
      <w:r>
        <w:t>Seven data quality problems are documented in a summary markdown cell in the notebook before any cleaning begins, making the rationale for each subsequent fix concrete and auditable.</w:t>
      </w:r>
    </w:p>
    <w:p>
      <w:pPr>
        <w:pStyle w:val="Heading3"/>
      </w:pPr>
      <w:r>
        <w:t>5.3 Cleaning Pipeline</w:t>
      </w:r>
    </w:p>
    <w:p>
      <w:r>
        <w:t>The cleaning pipeline (</w:t>
      </w:r>
      <w:r>
        <w:rPr>
          <w:rFonts w:ascii="Consolas" w:hAnsi="Consolas"/>
          <w:color w:val="800000"/>
          <w:sz w:val="19"/>
        </w:rPr>
        <w:t>src/cleaning.py</w:t>
      </w:r>
      <w:r>
        <w:t>, notebook cells 6–14) applies eight sequential transformations, each in its own cell so the intermediate state can be inspected:</w:t>
      </w:r>
    </w:p>
    <w:p>
      <w:pPr>
        <w:pStyle w:val="ListNumber"/>
      </w:pPr>
      <w:r>
        <w:rPr>
          <w:b/>
        </w:rPr>
        <w:t>Column standardization</w:t>
      </w:r>
      <w:r>
        <w:t xml:space="preserve"> — strip whitespace, convert to lowercase, replace spaces with underscores.</w:t>
      </w:r>
    </w:p>
    <w:p>
      <w:pPr>
        <w:pStyle w:val="ListNumber"/>
      </w:pPr>
      <w:r>
        <w:rPr>
          <w:b/>
        </w:rPr>
        <w:t>Numeric parsing</w:t>
      </w:r>
      <w:r>
        <w:t xml:space="preserve"> — replace comma decimal separators with dots, then convert to float via </w:t>
      </w:r>
      <w:r>
        <w:rPr>
          <w:rFonts w:ascii="Consolas" w:hAnsi="Consolas"/>
          <w:color w:val="800000"/>
          <w:sz w:val="19"/>
        </w:rPr>
        <w:t>pd.to_numeric</w:t>
      </w:r>
      <w:r>
        <w:t xml:space="preserve"> with </w:t>
      </w:r>
      <w:r>
        <w:rPr>
          <w:rFonts w:ascii="Consolas" w:hAnsi="Consolas"/>
          <w:color w:val="800000"/>
          <w:sz w:val="19"/>
        </w:rPr>
        <w:t>errors='coerce'</w:t>
      </w:r>
      <w:r>
        <w:t>.</w:t>
      </w:r>
    </w:p>
    <w:p>
      <w:pPr>
        <w:pStyle w:val="ListNumber"/>
      </w:pPr>
      <w:r>
        <w:rPr>
          <w:b/>
        </w:rPr>
        <w:t>Series name normalization</w:t>
      </w:r>
      <w:r>
        <w:t xml:space="preserve"> — strip extra whitespace; create a lowercase helper column for consistent matching.</w:t>
      </w:r>
    </w:p>
    <w:p>
      <w:pPr>
        <w:pStyle w:val="ListNumber"/>
      </w:pPr>
      <w:r>
        <w:rPr>
          <w:b/>
        </w:rPr>
        <w:t>Structural parsing</w:t>
      </w:r>
      <w:r>
        <w:t xml:space="preserve"> — extract </w:t>
      </w:r>
      <w:r>
        <w:rPr>
          <w:rFonts w:ascii="Consolas" w:hAnsi="Consolas"/>
          <w:color w:val="800000"/>
          <w:sz w:val="19"/>
        </w:rPr>
        <w:t>provincia</w:t>
      </w:r>
      <w:r>
        <w:t xml:space="preserve">, </w:t>
      </w:r>
      <w:r>
        <w:rPr>
          <w:rFonts w:ascii="Consolas" w:hAnsi="Consolas"/>
          <w:color w:val="800000"/>
          <w:sz w:val="19"/>
        </w:rPr>
        <w:t>sexo</w:t>
      </w:r>
      <w:r>
        <w:t xml:space="preserve">, and </w:t>
      </w:r>
      <w:r>
        <w:rPr>
          <w:rFonts w:ascii="Consolas" w:hAnsi="Consolas"/>
          <w:color w:val="800000"/>
          <w:sz w:val="19"/>
        </w:rPr>
        <w:t>actividad</w:t>
      </w:r>
      <w:r>
        <w:t xml:space="preserve"> from the packed </w:t>
      </w:r>
      <w:r>
        <w:rPr>
          <w:rFonts w:ascii="Consolas" w:hAnsi="Consolas"/>
          <w:color w:val="800000"/>
          <w:sz w:val="19"/>
        </w:rPr>
        <w:t>serie_nombre</w:t>
      </w:r>
      <w:r>
        <w:t xml:space="preserve"> string. Three table-specific parsers handle the different naming formats used by each source table (65345, 65349, 65354).</w:t>
      </w:r>
    </w:p>
    <w:p>
      <w:pPr>
        <w:pStyle w:val="ListNumber"/>
      </w:pPr>
      <w:r>
        <w:rPr>
          <w:b/>
        </w:rPr>
        <w:t>Date parsing</w:t>
      </w:r>
      <w:r>
        <w:t xml:space="preserve"> — a custom multi-format parser handles ISO, European, alternative ISO, textual, and Unix millisecond timestamps — all formats present in the same column.</w:t>
      </w:r>
    </w:p>
    <w:p>
      <w:pPr>
        <w:pStyle w:val="ListNumber"/>
      </w:pPr>
      <w:r>
        <w:rPr>
          <w:b/>
        </w:rPr>
        <w:t>Categorical normalization</w:t>
      </w:r>
      <w:r>
        <w:t xml:space="preserve"> — map </w:t>
      </w:r>
      <w:r>
        <w:rPr>
          <w:rFonts w:ascii="Consolas" w:hAnsi="Consolas"/>
          <w:color w:val="800000"/>
          <w:sz w:val="19"/>
        </w:rPr>
        <w:t>sexo</w:t>
      </w:r>
      <w:r>
        <w:t xml:space="preserve"> values to three canonical forms (</w:t>
      </w:r>
      <w:r>
        <w:rPr>
          <w:rFonts w:ascii="Consolas" w:hAnsi="Consolas"/>
          <w:color w:val="800000"/>
          <w:sz w:val="19"/>
        </w:rPr>
        <w:t>Ambos sexos</w:t>
      </w:r>
      <w:r>
        <w:t xml:space="preserve">, </w:t>
      </w:r>
      <w:r>
        <w:rPr>
          <w:rFonts w:ascii="Consolas" w:hAnsi="Consolas"/>
          <w:color w:val="800000"/>
          <w:sz w:val="19"/>
        </w:rPr>
        <w:t>Hombres</w:t>
      </w:r>
      <w:r>
        <w:t xml:space="preserve">, </w:t>
      </w:r>
      <w:r>
        <w:rPr>
          <w:rFonts w:ascii="Consolas" w:hAnsi="Consolas"/>
          <w:color w:val="800000"/>
          <w:sz w:val="19"/>
        </w:rPr>
        <w:t>Mujeres</w:t>
      </w:r>
      <w:r>
        <w:t xml:space="preserve">); strip </w:t>
      </w:r>
      <w:r>
        <w:rPr>
          <w:rFonts w:ascii="Consolas" w:hAnsi="Consolas"/>
          <w:color w:val="800000"/>
          <w:sz w:val="19"/>
        </w:rPr>
        <w:t>provincia</w:t>
      </w:r>
      <w:r>
        <w:t xml:space="preserve"> and </w:t>
      </w:r>
      <w:r>
        <w:rPr>
          <w:rFonts w:ascii="Consolas" w:hAnsi="Consolas"/>
          <w:color w:val="800000"/>
          <w:sz w:val="19"/>
        </w:rPr>
        <w:t>actividad</w:t>
      </w:r>
      <w:r>
        <w:t>.</w:t>
      </w:r>
    </w:p>
    <w:p>
      <w:pPr>
        <w:pStyle w:val="ListNumber"/>
      </w:pPr>
      <w:r>
        <w:rPr>
          <w:b/>
        </w:rPr>
        <w:t>Deduplication</w:t>
      </w:r>
      <w:r>
        <w:t xml:space="preserve"> — </w:t>
      </w:r>
      <w:r>
        <w:rPr>
          <w:rFonts w:ascii="Consolas" w:hAnsi="Consolas"/>
          <w:color w:val="800000"/>
          <w:sz w:val="19"/>
        </w:rPr>
        <w:t>drop_duplicates</w:t>
      </w:r>
      <w:r>
        <w:t xml:space="preserve"> on the composite key </w:t>
      </w:r>
      <w:r>
        <w:rPr>
          <w:rFonts w:ascii="Consolas" w:hAnsi="Consolas"/>
          <w:color w:val="800000"/>
          <w:sz w:val="19"/>
        </w:rPr>
        <w:t>(tabla, serie_cod, anyo, periodo_id)</w:t>
      </w:r>
      <w:r>
        <w:t>. Duplicate rows removed; 156,456 rows remain.</w:t>
      </w:r>
    </w:p>
    <w:p>
      <w:pPr>
        <w:pStyle w:val="ListNumber"/>
      </w:pPr>
      <w:r>
        <w:rPr>
          <w:b/>
        </w:rPr>
        <w:t>Cleanup</w:t>
      </w:r>
      <w:r>
        <w:t xml:space="preserve"> — drop helper columns (</w:t>
      </w:r>
      <w:r>
        <w:rPr>
          <w:rFonts w:ascii="Consolas" w:hAnsi="Consolas"/>
          <w:color w:val="800000"/>
          <w:sz w:val="19"/>
        </w:rPr>
        <w:t>serie_nombre_lower</w:t>
      </w:r>
      <w:r>
        <w:t xml:space="preserve">, </w:t>
      </w:r>
      <w:r>
        <w:rPr>
          <w:rFonts w:ascii="Consolas" w:hAnsi="Consolas"/>
          <w:color w:val="800000"/>
          <w:sz w:val="19"/>
        </w:rPr>
        <w:t>secreto</w:t>
      </w:r>
      <w:r>
        <w:t>) that were created during intermediate steps and are not needed in the final dataset.</w:t>
      </w:r>
    </w:p>
    <w:p>
      <w:r>
        <w:t xml:space="preserve">A validation cell (Cell 14) runs four </w:t>
      </w:r>
      <w:r>
        <w:rPr>
          <w:rFonts w:ascii="Consolas" w:hAnsi="Consolas"/>
          <w:color w:val="800000"/>
          <w:sz w:val="19"/>
        </w:rPr>
        <w:t>assert</w:t>
      </w:r>
      <w:r>
        <w:t xml:space="preserve"> statements to confirm the cleaned dataset meets structural expectations before any analysis proceeds. Missing values in </w:t>
      </w:r>
      <w:r>
        <w:rPr>
          <w:rFonts w:ascii="Consolas" w:hAnsi="Consolas"/>
          <w:color w:val="800000"/>
          <w:sz w:val="19"/>
        </w:rPr>
        <w:t>valor</w:t>
      </w:r>
      <w:r>
        <w:t xml:space="preserve"> (~3%) are kept as </w:t>
      </w:r>
      <w:r>
        <w:rPr>
          <w:rFonts w:ascii="Consolas" w:hAnsi="Consolas"/>
          <w:color w:val="800000"/>
          <w:sz w:val="19"/>
        </w:rPr>
        <w:t>NaN</w:t>
      </w:r>
      <w:r>
        <w:t xml:space="preserve"> rather than imputed, to preserve data integrity.</w:t>
      </w:r>
    </w:p>
    <w:p>
      <w:pPr>
        <w:pStyle w:val="Heading3"/>
      </w:pPr>
      <w:r>
        <w:t>5.4 Feature Engineering</w:t>
      </w:r>
    </w:p>
    <w:p>
      <w:r>
        <w:t>Seven derived columns are added to the clean DataFrame (</w:t>
      </w:r>
      <w:r>
        <w:rPr>
          <w:rFonts w:ascii="Consolas" w:hAnsi="Consolas"/>
          <w:color w:val="800000"/>
          <w:sz w:val="19"/>
        </w:rPr>
        <w:t>src/features.py</w:t>
      </w:r>
      <w:r>
        <w:t>, notebook cells 15–19):</w:t>
      </w:r>
    </w:p>
    <w:tbl>
      <w:tblPr>
        <w:tblStyle w:val="LightGrid-Accent1"/>
        <w:tblW w:type="auto" w:w="0"/>
        <w:jc w:val="center"/>
        <w:tblLook w:firstColumn="1" w:firstRow="1" w:lastColumn="0" w:lastRow="0" w:noHBand="0" w:noVBand="1" w:val="04A0"/>
      </w:tblPr>
      <w:tblGrid>
        <w:gridCol w:w="4536"/>
        <w:gridCol w:w="4536"/>
      </w:tblGrid>
      <w:tr>
        <w:tc>
          <w:tcPr>
            <w:tcW w:type="dxa" w:w="4536"/>
          </w:tcPr>
          <w:p>
            <w:pPr>
              <w:spacing w:after="40"/>
            </w:pPr>
            <w:r/>
            <w:r>
              <w:rPr>
                <w:rFonts w:ascii="Calibri" w:hAnsi="Calibri"/>
                <w:b/>
                <w:sz w:val="19"/>
              </w:rPr>
              <w:t>Column</w:t>
            </w:r>
          </w:p>
        </w:tc>
        <w:tc>
          <w:tcPr>
            <w:tcW w:type="dxa" w:w="4536"/>
          </w:tcPr>
          <w:p>
            <w:pPr>
              <w:spacing w:after="40"/>
            </w:pPr>
            <w:r/>
            <w:r>
              <w:rPr>
                <w:rFonts w:ascii="Calibri" w:hAnsi="Calibri"/>
                <w:b/>
                <w:sz w:val="19"/>
              </w:rPr>
              <w:t>Derivation</w:t>
            </w:r>
          </w:p>
        </w:tc>
      </w:tr>
      <w:tr>
        <w:tc>
          <w:tcPr>
            <w:tcW w:type="dxa" w:w="4536"/>
          </w:tcPr>
          <w:p>
            <w:pPr>
              <w:spacing w:after="40"/>
            </w:pPr>
            <w:r>
              <w:rPr>
                <w:rFonts w:ascii="Calibri" w:hAnsi="Calibri"/>
                <w:sz w:val="19"/>
              </w:rPr>
            </w:r>
            <w:r>
              <w:rPr>
                <w:rFonts w:ascii="Consolas" w:hAnsi="Consolas"/>
                <w:color w:val="800000"/>
                <w:sz w:val="19"/>
              </w:rPr>
              <w:t>trimestre</w:t>
            </w:r>
          </w:p>
        </w:tc>
        <w:tc>
          <w:tcPr>
            <w:tcW w:type="dxa" w:w="4536"/>
          </w:tcPr>
          <w:p>
            <w:pPr>
              <w:spacing w:after="40"/>
            </w:pPr>
            <w:r>
              <w:rPr>
                <w:rFonts w:ascii="Calibri" w:hAnsi="Calibri"/>
                <w:sz w:val="19"/>
              </w:rPr>
            </w:r>
            <w:r>
              <w:rPr>
                <w:rFonts w:ascii="Calibri" w:hAnsi="Calibri"/>
                <w:sz w:val="19"/>
              </w:rPr>
              <w:t>Period(freq='Q') string (e.g. 2024Q3)</w:t>
            </w:r>
          </w:p>
        </w:tc>
      </w:tr>
      <w:tr>
        <w:tc>
          <w:tcPr>
            <w:tcW w:type="dxa" w:w="4536"/>
          </w:tcPr>
          <w:p>
            <w:pPr>
              <w:spacing w:after="40"/>
            </w:pPr>
            <w:r>
              <w:rPr>
                <w:rFonts w:ascii="Calibri" w:hAnsi="Calibri"/>
                <w:sz w:val="19"/>
              </w:rPr>
            </w:r>
            <w:r>
              <w:rPr>
                <w:rFonts w:ascii="Consolas" w:hAnsi="Consolas"/>
                <w:color w:val="800000"/>
                <w:sz w:val="19"/>
              </w:rPr>
              <w:t>mes</w:t>
            </w:r>
          </w:p>
        </w:tc>
        <w:tc>
          <w:tcPr>
            <w:tcW w:type="dxa" w:w="4536"/>
          </w:tcPr>
          <w:p>
            <w:pPr>
              <w:spacing w:after="40"/>
            </w:pPr>
            <w:r>
              <w:rPr>
                <w:rFonts w:ascii="Calibri" w:hAnsi="Calibri"/>
                <w:sz w:val="19"/>
              </w:rPr>
            </w:r>
            <w:r>
              <w:rPr>
                <w:rFonts w:ascii="Calibri" w:hAnsi="Calibri"/>
                <w:sz w:val="19"/>
              </w:rPr>
              <w:t xml:space="preserve">Month number extracted from </w:t>
            </w:r>
            <w:r>
              <w:rPr>
                <w:rFonts w:ascii="Consolas" w:hAnsi="Consolas"/>
                <w:color w:val="800000"/>
                <w:sz w:val="19"/>
              </w:rPr>
              <w:t>fecha</w:t>
            </w:r>
          </w:p>
        </w:tc>
      </w:tr>
      <w:tr>
        <w:tc>
          <w:tcPr>
            <w:tcW w:type="dxa" w:w="4536"/>
          </w:tcPr>
          <w:p>
            <w:pPr>
              <w:spacing w:after="40"/>
            </w:pPr>
            <w:r>
              <w:rPr>
                <w:rFonts w:ascii="Calibri" w:hAnsi="Calibri"/>
                <w:sz w:val="19"/>
              </w:rPr>
            </w:r>
            <w:r>
              <w:rPr>
                <w:rFonts w:ascii="Consolas" w:hAnsi="Consolas"/>
                <w:color w:val="800000"/>
                <w:sz w:val="19"/>
              </w:rPr>
              <w:t>year</w:t>
            </w:r>
          </w:p>
        </w:tc>
        <w:tc>
          <w:tcPr>
            <w:tcW w:type="dxa" w:w="4536"/>
          </w:tcPr>
          <w:p>
            <w:pPr>
              <w:spacing w:after="40"/>
            </w:pPr>
            <w:r>
              <w:rPr>
                <w:rFonts w:ascii="Calibri" w:hAnsi="Calibri"/>
                <w:sz w:val="19"/>
              </w:rPr>
            </w:r>
            <w:r>
              <w:rPr>
                <w:rFonts w:ascii="Calibri" w:hAnsi="Calibri"/>
                <w:sz w:val="19"/>
              </w:rPr>
              <w:t xml:space="preserve">Year extracted from </w:t>
            </w:r>
            <w:r>
              <w:rPr>
                <w:rFonts w:ascii="Consolas" w:hAnsi="Consolas"/>
                <w:color w:val="800000"/>
                <w:sz w:val="19"/>
              </w:rPr>
              <w:t>fecha</w:t>
            </w:r>
          </w:p>
        </w:tc>
      </w:tr>
      <w:tr>
        <w:tc>
          <w:tcPr>
            <w:tcW w:type="dxa" w:w="4536"/>
          </w:tcPr>
          <w:p>
            <w:pPr>
              <w:spacing w:after="40"/>
            </w:pPr>
            <w:r>
              <w:rPr>
                <w:rFonts w:ascii="Calibri" w:hAnsi="Calibri"/>
                <w:sz w:val="19"/>
              </w:rPr>
            </w:r>
            <w:r>
              <w:rPr>
                <w:rFonts w:ascii="Consolas" w:hAnsi="Consolas"/>
                <w:color w:val="800000"/>
                <w:sz w:val="19"/>
              </w:rPr>
              <w:t>trimestre_label</w:t>
            </w:r>
          </w:p>
        </w:tc>
        <w:tc>
          <w:tcPr>
            <w:tcW w:type="dxa" w:w="4536"/>
          </w:tcPr>
          <w:p>
            <w:pPr>
              <w:spacing w:after="40"/>
            </w:pPr>
            <w:r>
              <w:rPr>
                <w:rFonts w:ascii="Calibri" w:hAnsi="Calibri"/>
                <w:sz w:val="19"/>
              </w:rPr>
            </w:r>
            <w:r>
              <w:rPr>
                <w:rFonts w:ascii="Consolas" w:hAnsi="Consolas"/>
                <w:color w:val="800000"/>
                <w:sz w:val="19"/>
              </w:rPr>
              <w:t>periodo_id</w:t>
            </w:r>
            <w:r>
              <w:rPr>
                <w:rFonts w:ascii="Calibri" w:hAnsi="Calibri"/>
                <w:sz w:val="19"/>
              </w:rPr>
              <w:t xml:space="preserve"> mapped to T1/T2/T3/T4</w:t>
            </w:r>
          </w:p>
        </w:tc>
      </w:tr>
      <w:tr>
        <w:tc>
          <w:tcPr>
            <w:tcW w:type="dxa" w:w="4536"/>
          </w:tcPr>
          <w:p>
            <w:pPr>
              <w:spacing w:after="40"/>
            </w:pPr>
            <w:r>
              <w:rPr>
                <w:rFonts w:ascii="Calibri" w:hAnsi="Calibri"/>
                <w:sz w:val="19"/>
              </w:rPr>
            </w:r>
            <w:r>
              <w:rPr>
                <w:rFonts w:ascii="Consolas" w:hAnsi="Consolas"/>
                <w:color w:val="800000"/>
                <w:sz w:val="19"/>
              </w:rPr>
              <w:t>fuente</w:t>
            </w:r>
          </w:p>
        </w:tc>
        <w:tc>
          <w:tcPr>
            <w:tcW w:type="dxa" w:w="4536"/>
          </w:tcPr>
          <w:p>
            <w:pPr>
              <w:spacing w:after="40"/>
            </w:pPr>
            <w:r>
              <w:rPr>
                <w:rFonts w:ascii="Calibri" w:hAnsi="Calibri"/>
                <w:sz w:val="19"/>
              </w:rPr>
            </w:r>
            <w:r>
              <w:rPr>
                <w:rFonts w:ascii="Calibri" w:hAnsi="Calibri"/>
                <w:sz w:val="19"/>
              </w:rPr>
              <w:t xml:space="preserve">Human-readable source name for each </w:t>
            </w:r>
            <w:r>
              <w:rPr>
                <w:rFonts w:ascii="Consolas" w:hAnsi="Consolas"/>
                <w:color w:val="800000"/>
                <w:sz w:val="19"/>
              </w:rPr>
              <w:t>tabla</w:t>
            </w:r>
          </w:p>
        </w:tc>
      </w:tr>
      <w:tr>
        <w:tc>
          <w:tcPr>
            <w:tcW w:type="dxa" w:w="4536"/>
          </w:tcPr>
          <w:p>
            <w:pPr>
              <w:spacing w:after="40"/>
            </w:pPr>
            <w:r>
              <w:rPr>
                <w:rFonts w:ascii="Calibri" w:hAnsi="Calibri"/>
                <w:sz w:val="19"/>
              </w:rPr>
            </w:r>
            <w:r>
              <w:rPr>
                <w:rFonts w:ascii="Consolas" w:hAnsi="Consolas"/>
                <w:color w:val="800000"/>
                <w:sz w:val="19"/>
              </w:rPr>
              <w:t>es_nacional</w:t>
            </w:r>
          </w:p>
        </w:tc>
        <w:tc>
          <w:tcPr>
            <w:tcW w:type="dxa" w:w="4536"/>
          </w:tcPr>
          <w:p>
            <w:pPr>
              <w:spacing w:after="40"/>
            </w:pPr>
            <w:r>
              <w:rPr>
                <w:rFonts w:ascii="Calibri" w:hAnsi="Calibri"/>
                <w:sz w:val="19"/>
              </w:rPr>
            </w:r>
            <w:r>
              <w:rPr>
                <w:rFonts w:ascii="Calibri" w:hAnsi="Calibri"/>
                <w:sz w:val="19"/>
              </w:rPr>
              <w:t xml:space="preserve">Boolean — True if </w:t>
            </w:r>
            <w:r>
              <w:rPr>
                <w:rFonts w:ascii="Consolas" w:hAnsi="Consolas"/>
                <w:color w:val="800000"/>
                <w:sz w:val="19"/>
              </w:rPr>
              <w:t>provincia</w:t>
            </w:r>
            <w:r>
              <w:rPr>
                <w:rFonts w:ascii="Calibri" w:hAnsi="Calibri"/>
                <w:sz w:val="19"/>
              </w:rPr>
              <w:t xml:space="preserve"> contains 'total nacional'</w:t>
            </w:r>
          </w:p>
        </w:tc>
      </w:tr>
      <w:tr>
        <w:tc>
          <w:tcPr>
            <w:tcW w:type="dxa" w:w="4536"/>
          </w:tcPr>
          <w:p>
            <w:pPr>
              <w:spacing w:after="40"/>
            </w:pPr>
            <w:r>
              <w:rPr>
                <w:rFonts w:ascii="Calibri" w:hAnsi="Calibri"/>
                <w:sz w:val="19"/>
              </w:rPr>
            </w:r>
            <w:r>
              <w:rPr>
                <w:rFonts w:ascii="Consolas" w:hAnsi="Consolas"/>
                <w:color w:val="800000"/>
                <w:sz w:val="19"/>
              </w:rPr>
              <w:t>ccaa</w:t>
            </w:r>
          </w:p>
        </w:tc>
        <w:tc>
          <w:tcPr>
            <w:tcW w:type="dxa" w:w="4536"/>
          </w:tcPr>
          <w:p>
            <w:pPr>
              <w:spacing w:after="40"/>
            </w:pPr>
            <w:r>
              <w:rPr>
                <w:rFonts w:ascii="Calibri" w:hAnsi="Calibri"/>
                <w:sz w:val="19"/>
              </w:rPr>
            </w:r>
            <w:r>
              <w:rPr>
                <w:rFonts w:ascii="Calibri" w:hAnsi="Calibri"/>
                <w:sz w:val="19"/>
              </w:rPr>
              <w:t>Autonomous community derived from a 52-province lookup table</w:t>
            </w:r>
          </w:p>
        </w:tc>
      </w:tr>
    </w:tbl>
    <w:p/>
    <w:p>
      <w:r>
        <w:t>The period label (</w:t>
      </w:r>
      <w:r>
        <w:rPr>
          <w:rFonts w:ascii="Consolas" w:hAnsi="Consolas"/>
          <w:color w:val="800000"/>
          <w:sz w:val="19"/>
        </w:rPr>
        <w:t>PERIOD_LABEL</w:t>
      </w:r>
      <w:r>
        <w:t xml:space="preserve">, e.g. </w:t>
      </w:r>
      <w:r>
        <w:rPr>
          <w:rFonts w:ascii="Consolas" w:hAnsi="Consolas"/>
          <w:color w:val="800000"/>
          <w:sz w:val="19"/>
        </w:rPr>
        <w:t>"2002–2025"</w:t>
      </w:r>
      <w:r>
        <w:t xml:space="preserve">) is derived dynamically from the minimum and maximum year in the data and stamped on every chart title, so the notebook is fully period-agnostic. The final processed dataset (156,456 rows × 17 columns) is saved to </w:t>
      </w:r>
      <w:r>
        <w:rPr>
          <w:rFonts w:ascii="Consolas" w:hAnsi="Consolas"/>
          <w:color w:val="800000"/>
          <w:sz w:val="19"/>
        </w:rPr>
        <w:t>data/processed/epa_mercado_laboral_clean.csv</w:t>
      </w:r>
      <w:r>
        <w:t>.</w:t>
      </w:r>
    </w:p>
    <w:p>
      <w:pPr>
        <w:pStyle w:val="Heading3"/>
      </w:pPr>
      <w:r>
        <w:t>5.5 Notebook Flow (eda.ipynb)</w:t>
      </w:r>
    </w:p>
    <w:p>
      <w:r>
        <w:t>The notebook is structured in five logical phases:</w:t>
      </w:r>
    </w:p>
    <w:p>
      <w:r>
        <w:rPr>
          <w:b/>
        </w:rPr>
        <w:t>Phase 0 — Framing (Cell 0):</w:t>
      </w:r>
      <w:r>
        <w:t xml:space="preserve"> A markdown cell introduces the project and states the eight core research questions.</w:t>
      </w:r>
    </w:p>
    <w:p>
      <w:r>
        <w:rPr>
          <w:b/>
        </w:rPr>
        <w:t>Phase 1 — Setup (Cell 1):</w:t>
      </w:r>
      <w:r>
        <w:t xml:space="preserve"> Standard environment bootstrap: imports (NumPy, pandas, Matplotlib, Seaborn); Seaborn theme and context set to </w:t>
      </w:r>
      <w:r>
        <w:rPr>
          <w:rFonts w:ascii="Consolas" w:hAnsi="Consolas"/>
          <w:color w:val="800000"/>
          <w:sz w:val="19"/>
        </w:rPr>
        <w:t>whitegrid</w:t>
      </w:r>
      <w:r>
        <w:t xml:space="preserve"> / </w:t>
      </w:r>
      <w:r>
        <w:rPr>
          <w:rFonts w:ascii="Consolas" w:hAnsi="Consolas"/>
          <w:color w:val="800000"/>
          <w:sz w:val="19"/>
        </w:rPr>
        <w:t>notebook</w:t>
      </w:r>
      <w:r>
        <w:t>; path constants defined; previous chart files cleared so re-runs start clean.</w:t>
      </w:r>
    </w:p>
    <w:p>
      <w:r>
        <w:rPr>
          <w:b/>
        </w:rPr>
        <w:t>Phase 2 — Data Quality Assessment (Cells 2–5):</w:t>
      </w:r>
      <w:r>
        <w:t xml:space="preserve"> The notebook deliberately loads the </w:t>
      </w:r>
      <w:r>
        <w:rPr>
          <w:i/>
        </w:rPr>
        <w:t>dirty</w:t>
      </w:r>
      <w:r>
        <w:t xml:space="preserve"> version of the CSV — a file where </w:t>
      </w:r>
      <w:r>
        <w:rPr>
          <w:rFonts w:ascii="Consolas" w:hAnsi="Consolas"/>
          <w:color w:val="800000"/>
          <w:sz w:val="19"/>
        </w:rPr>
        <w:t>fetch_data.py</w:t>
      </w:r>
      <w:r>
        <w:t xml:space="preserve"> has injected synthetic data quality issues with a fixed random seed (42), making the cleaning rationale visible and reproducible.</w:t>
      </w:r>
    </w:p>
    <w:p>
      <w:r>
        <w:rPr>
          <w:b/>
        </w:rPr>
        <w:t>Phase 3 — Cleaning Pipeline (Cells 6–14):</w:t>
      </w:r>
      <w:r>
        <w:t xml:space="preserve"> Eight sequential transformations are applied, each in its own cell so intermediate state can be inspected. A validation cell runs four </w:t>
      </w:r>
      <w:r>
        <w:rPr>
          <w:rFonts w:ascii="Consolas" w:hAnsi="Consolas"/>
          <w:color w:val="800000"/>
          <w:sz w:val="19"/>
        </w:rPr>
        <w:t>assert</w:t>
      </w:r>
      <w:r>
        <w:t xml:space="preserve"> statements as a hard gate before analysis proceeds.</w:t>
      </w:r>
    </w:p>
    <w:p>
      <w:r>
        <w:rPr>
          <w:b/>
        </w:rPr>
        <w:t>Phase 4 — Feature Engineering (Cells 15–19):</w:t>
      </w:r>
      <w:r>
        <w:t xml:space="preserve"> Seven derived columns are added. The final processed dataset is saved to </w:t>
      </w:r>
      <w:r>
        <w:rPr>
          <w:rFonts w:ascii="Consolas" w:hAnsi="Consolas"/>
          <w:color w:val="800000"/>
          <w:sz w:val="19"/>
        </w:rPr>
        <w:t>data/processed/</w:t>
      </w:r>
      <w:r>
        <w:t>.</w:t>
      </w:r>
    </w:p>
    <w:p>
      <w:r>
        <w:rPr>
          <w:b/>
        </w:rPr>
        <w:t>Phase 5 — Visualisations and Conclusions (Cells 20–31):</w:t>
      </w:r>
      <w:r>
        <w:t xml:space="preserve"> Nine charts answer the eight research questions.</w:t>
      </w:r>
    </w:p>
    <w:p>
      <w:pPr>
        <w:pStyle w:val="Heading3"/>
      </w:pPr>
      <w:r>
        <w:t>5.6 End-to-End Pipeline (CLI Path)</w:t>
      </w:r>
    </w:p>
    <w:p>
      <w:r>
        <w:t xml:space="preserve">For automated or production runs the notebook logic is replicated in </w:t>
      </w:r>
      <w:r>
        <w:rPr>
          <w:rFonts w:ascii="Consolas" w:hAnsi="Consolas"/>
          <w:color w:val="800000"/>
          <w:sz w:val="19"/>
        </w:rPr>
        <w:t>main.py</w:t>
      </w:r>
      <w:r>
        <w:t>:</w:t>
      </w:r>
    </w:p>
    <w:p>
      <w:pPr>
        <w:spacing w:before="120" w:after="120"/>
      </w:pPr>
      <w:r>
        <w:rPr>
          <w:rFonts w:ascii="Consolas" w:hAnsi="Consolas"/>
          <w:color w:val="333333"/>
          <w:sz w:val="18"/>
        </w:rPr>
        <w:t>python main.py --fetch --start 2002 --end 2025</w:t>
        <w:br/>
        <w:t xml:space="preserve">     │</w:t>
        <w:br/>
        <w:t xml:space="preserve">     ├─ fetch_data.py → 6 JSON files + dirty CSV + raw CSV</w:t>
        <w:br/>
        <w:t xml:space="preserve">     ├─ src/cleaning.py → 8-step clean (~156,500 → 156,456 rows)</w:t>
        <w:br/>
        <w:t xml:space="preserve">     ├─ src/utils.py → 4 validation assertions</w:t>
        <w:br/>
        <w:t xml:space="preserve">     ├─ src/features.py → 7 new columns (17 total)</w:t>
        <w:br/>
        <w:t xml:space="preserve">     ├─ Save: data/processed/epa_mercado_laboral_clean.csv</w:t>
        <w:br/>
        <w:t xml:space="preserve">     └─ src/viz.py → 9 charts → charts/*.png</w:t>
      </w:r>
    </w:p>
    <w:p>
      <w:pPr>
        <w:pStyle w:val="Heading3"/>
      </w:pPr>
      <w:r>
        <w:t>5.7 Visualization Design</w:t>
      </w:r>
    </w:p>
    <w:p>
      <w:r>
        <w:t>Nine visualization types were designed to answer the research questions:</w:t>
      </w:r>
    </w:p>
    <w:p>
      <w:pPr>
        <w:pStyle w:val="ListBullet"/>
      </w:pPr>
      <w:r>
        <w:rPr>
          <w:b/>
        </w:rPr>
        <w:t>Comparison chart</w:t>
      </w:r>
      <w:r>
        <w:t xml:space="preserve"> (horizontal bar) — unemployment rate by province, colour-coded by median.</w:t>
      </w:r>
    </w:p>
    <w:p>
      <w:pPr>
        <w:pStyle w:val="ListBullet"/>
      </w:pPr>
      <w:r>
        <w:rPr>
          <w:b/>
        </w:rPr>
        <w:t>Time series</w:t>
      </w:r>
      <w:r>
        <w:t xml:space="preserve"> (line plot) — gender gap in unemployment over time.</w:t>
      </w:r>
    </w:p>
    <w:p>
      <w:pPr>
        <w:pStyle w:val="ListBullet"/>
      </w:pPr>
      <w:r>
        <w:rPr>
          <w:b/>
        </w:rPr>
        <w:t>Temporal composition</w:t>
      </w:r>
      <w:r>
        <w:t xml:space="preserve"> (multi-line) — employment by economic sector over time.</w:t>
      </w:r>
    </w:p>
    <w:p>
      <w:pPr>
        <w:pStyle w:val="ListBullet"/>
      </w:pPr>
      <w:r>
        <w:rPr>
          <w:b/>
        </w:rPr>
        <w:t>Distribution chart</w:t>
      </w:r>
      <w:r>
        <w:t xml:space="preserve"> (horizontal bar) — average employed population per province.</w:t>
      </w:r>
    </w:p>
    <w:p>
      <w:pPr>
        <w:pStyle w:val="ListBullet"/>
      </w:pPr>
      <w:r>
        <w:rPr>
          <w:b/>
        </w:rPr>
        <w:t>Annotated time series</w:t>
      </w:r>
      <w:r>
        <w:t xml:space="preserve"> (area fill) — total employment evolution.</w:t>
      </w:r>
    </w:p>
    <w:p>
      <w:pPr>
        <w:pStyle w:val="ListBullet"/>
      </w:pPr>
      <w:r>
        <w:rPr>
          <w:b/>
        </w:rPr>
        <w:t>Pattern chart</w:t>
      </w:r>
      <w:r>
        <w:t xml:space="preserve"> (heatmap) — unemployment rate by CCAA and quarter.</w:t>
      </w:r>
    </w:p>
    <w:p>
      <w:pPr>
        <w:pStyle w:val="ListBullet"/>
      </w:pPr>
      <w:r>
        <w:rPr>
          <w:b/>
        </w:rPr>
        <w:t>Grouped bar chart</w:t>
      </w:r>
      <w:r>
        <w:t xml:space="preserve"> — unemployment rate by age group and sex.</w:t>
      </w:r>
    </w:p>
    <w:p>
      <w:pPr>
        <w:pStyle w:val="ListBullet"/>
      </w:pPr>
      <w:r>
        <w:rPr>
          <w:b/>
        </w:rPr>
        <w:t>Multi-line time series</w:t>
      </w:r>
      <w:r>
        <w:t xml:space="preserve"> — youth unemployment vs. total rate evolution.</w:t>
      </w:r>
    </w:p>
    <w:p>
      <w:pPr>
        <w:pStyle w:val="ListBullet"/>
      </w:pPr>
      <w:r>
        <w:rPr>
          <w:b/>
        </w:rPr>
        <w:t>Grouped bar chart</w:t>
      </w:r>
      <w:r>
        <w:t xml:space="preserve"> — unemployment rate by age group and nationality.</w:t>
      </w:r>
    </w:p>
    <w:p>
      <w:r>
        <w:t xml:space="preserve">All visualization functions are implemented as reusable modules in </w:t>
      </w:r>
      <w:r>
        <w:rPr>
          <w:rFonts w:ascii="Consolas" w:hAnsi="Consolas"/>
          <w:color w:val="800000"/>
          <w:sz w:val="19"/>
        </w:rPr>
        <w:t>src/viz.py</w:t>
      </w:r>
      <w:r>
        <w:t xml:space="preserve">. The </w:t>
      </w:r>
      <w:r>
        <w:rPr>
          <w:rFonts w:ascii="Consolas" w:hAnsi="Consolas"/>
          <w:color w:val="800000"/>
          <w:sz w:val="19"/>
        </w:rPr>
        <w:t>main.py</w:t>
      </w:r>
      <w:r>
        <w:t xml:space="preserve"> pipeline generates all 9 charts automatically.</w:t>
      </w:r>
    </w:p>
    <w:p>
      <w:pPr>
        <w:pStyle w:val="Heading2"/>
      </w:pPr>
      <w:r>
        <w:t>6. Results</w:t>
      </w:r>
    </w:p>
    <w:p>
      <w:r>
        <w:t>The 2002–2025 analysis window covers 96 quarters and three complete macroeconomic cycles: the pre-crisis expansion (2002–2007), the Great Recession (2008–2013), and the recovery-pandemic-rebound period (2014–2025). This breadth makes it possible to distinguish structural patterns from cyclical effects.</w:t>
      </w:r>
    </w:p>
    <w:p>
      <w:pPr>
        <w:pStyle w:val="Heading3"/>
      </w:pPr>
      <w:r>
        <w:t>6.1 Unemployment by Province (Q1)</w:t>
      </w:r>
    </w:p>
    <w:p>
      <w:pPr>
        <w:jc w:val="center"/>
      </w:pPr>
      <w:r>
        <w:drawing>
          <wp:inline xmlns:a="http://schemas.openxmlformats.org/drawingml/2006/main" xmlns:pic="http://schemas.openxmlformats.org/drawingml/2006/picture">
            <wp:extent cx="5486400" cy="7673571"/>
            <wp:docPr id="1" name="Picture 1"/>
            <wp:cNvGraphicFramePr>
              <a:graphicFrameLocks noChangeAspect="1"/>
            </wp:cNvGraphicFramePr>
            <a:graphic>
              <a:graphicData uri="http://schemas.openxmlformats.org/drawingml/2006/picture">
                <pic:pic>
                  <pic:nvPicPr>
                    <pic:cNvPr id="0" name="01_tasa_paro_por_provincia.png"/>
                    <pic:cNvPicPr/>
                  </pic:nvPicPr>
                  <pic:blipFill>
                    <a:blip r:embed="rId9"/>
                    <a:stretch>
                      <a:fillRect/>
                    </a:stretch>
                  </pic:blipFill>
                  <pic:spPr>
                    <a:xfrm>
                      <a:off x="0" y="0"/>
                      <a:ext cx="5486400" cy="7673571"/>
                    </a:xfrm>
                    <a:prstGeom prst="rect"/>
                  </pic:spPr>
                </pic:pic>
              </a:graphicData>
            </a:graphic>
          </wp:inline>
        </w:drawing>
      </w:r>
    </w:p>
    <w:p>
      <w:pPr>
        <w:spacing w:after="240"/>
        <w:jc w:val="center"/>
      </w:pPr>
      <w:r>
        <w:rPr>
          <w:i/>
          <w:color w:val="666666"/>
          <w:sz w:val="18"/>
        </w:rPr>
        <w:t>Chart 1 — Average unemployment rate by province (2002–2025)</w:t>
      </w:r>
    </w:p>
    <w:p>
      <w:r>
        <w:t>The territorial disparity in unemployment is the most persistent structural feature of the Spanish labour market. Across the full 24-year period, the north–south divide is striking and remarkably stable. Southern provinces — particularly those in Andalucía (Cádiz, Huelva, Sevilla, Córdoba, Jaén, Granada), Extremadura (Badajoz, Cáceres), and the Canary Islands — consistently exhibit unemployment rates well above the national average. In contrast, northern provinces — País Vasco (Gipuzkoa, Araba/Álava, Bizkaia), Navarra, Aragón (Huesca, Teruel), and La Rioja — show significantly lower rates.</w:t>
      </w:r>
    </w:p>
    <w:p>
      <w:r>
        <w:t>The scale of this divide has fluctuated with the business cycle but the ranking barely changes: in 2007 (the pre-crisis low, national rate 8.5%), southern provinces still led the unemployment table; in 2013 (the crisis peak, national rate 25.8%), the same provinces held the top positions but with rates exceeding 35%; and by 2025 (national rate ~10%), the ranking remained essentially the same. This extraordinary persistence over a period that included a housing bubble, a financial crisis, a labour reform, a pandemic, and a historic recovery confirms that the drivers — industrial base, educational attainment, sectoral composition, and agricultural dependency — are deeply structural.</w:t>
      </w:r>
    </w:p>
    <w:p>
      <w:pPr>
        <w:pStyle w:val="Heading3"/>
      </w:pPr>
      <w:r>
        <w:t>6.2 Gender Gap in Unemployment (Q2)</w:t>
      </w:r>
    </w:p>
    <w:p>
      <w:pPr>
        <w:jc w:val="center"/>
      </w:pPr>
      <w:r>
        <w:drawing>
          <wp:inline xmlns:a="http://schemas.openxmlformats.org/drawingml/2006/main" xmlns:pic="http://schemas.openxmlformats.org/drawingml/2006/picture">
            <wp:extent cx="5486400" cy="2248071"/>
            <wp:docPr id="2" name="Picture 2"/>
            <wp:cNvGraphicFramePr>
              <a:graphicFrameLocks noChangeAspect="1"/>
            </wp:cNvGraphicFramePr>
            <a:graphic>
              <a:graphicData uri="http://schemas.openxmlformats.org/drawingml/2006/picture">
                <pic:pic>
                  <pic:nvPicPr>
                    <pic:cNvPr id="0" name="02_brecha_genero_paro.png"/>
                    <pic:cNvPicPr/>
                  </pic:nvPicPr>
                  <pic:blipFill>
                    <a:blip r:embed="rId10"/>
                    <a:stretch>
                      <a:fillRect/>
                    </a:stretch>
                  </pic:blipFill>
                  <pic:spPr>
                    <a:xfrm>
                      <a:off x="0" y="0"/>
                      <a:ext cx="5486400" cy="2248071"/>
                    </a:xfrm>
                    <a:prstGeom prst="rect"/>
                  </pic:spPr>
                </pic:pic>
              </a:graphicData>
            </a:graphic>
          </wp:inline>
        </w:drawing>
      </w:r>
    </w:p>
    <w:p>
      <w:pPr>
        <w:spacing w:after="240"/>
        <w:jc w:val="center"/>
      </w:pPr>
      <w:r>
        <w:rPr>
          <w:i/>
          <w:color w:val="666666"/>
          <w:sz w:val="18"/>
        </w:rPr>
        <w:t>Chart 2 — Gender gap in unemployment rate (2002–2025)</w:t>
      </w:r>
    </w:p>
    <w:p>
      <w:r>
        <w:t>Chart 2 tracks the national unemployment rate for men and women over 96 quarters. The gender gap is a persistent feature of the Spanish labour market, but its magnitude and direction have evolved significantly over the 24-year period.</w:t>
      </w:r>
    </w:p>
    <w:p>
      <w:r>
        <w:t>During the pre-crisis period (2002–2007), female unemployment was consistently 4–6 percentage points higher than male unemployment, reflecting lower female labour force participation and occupational segregation. The 2008 financial crisis initially narrowed the gap dramatically because male-dominated sectors (construction, industry) were hit hardest — male unemployment surged from ~7% to ~25%, while female unemployment rose from ~12% to ~27%. For the first time, the gap shrank to near zero and briefly inverted in some quarters.</w:t>
      </w:r>
    </w:p>
    <w:p>
      <w:r>
        <w:t>During the recovery phase (2014–2019), the gender gap re-established itself at around 3–4 percentage points. The 2020 pandemic briefly narrowed the gap again. By 2024–2025, both rates have reached their lowest levels in the observed period (~9% male, ~12% female), with the gender gap narrowing to approximately 2–3 percentage points — the smallest sustained gap in the entire 24-year series.</w:t>
      </w:r>
    </w:p>
    <w:p>
      <w:pPr>
        <w:pStyle w:val="Heading3"/>
      </w:pPr>
      <w:r>
        <w:t>6.3 Employment by Economic Sector (Q3)</w:t>
      </w:r>
    </w:p>
    <w:p>
      <w:pPr>
        <w:jc w:val="center"/>
      </w:pPr>
      <w:r>
        <w:drawing>
          <wp:inline xmlns:a="http://schemas.openxmlformats.org/drawingml/2006/main" xmlns:pic="http://schemas.openxmlformats.org/drawingml/2006/picture">
            <wp:extent cx="5486400" cy="2248071"/>
            <wp:docPr id="3" name="Picture 3"/>
            <wp:cNvGraphicFramePr>
              <a:graphicFrameLocks noChangeAspect="1"/>
            </wp:cNvGraphicFramePr>
            <a:graphic>
              <a:graphicData uri="http://schemas.openxmlformats.org/drawingml/2006/picture">
                <pic:pic>
                  <pic:nvPicPr>
                    <pic:cNvPr id="0" name="03_empleo_por_sector.png"/>
                    <pic:cNvPicPr/>
                  </pic:nvPicPr>
                  <pic:blipFill>
                    <a:blip r:embed="rId11"/>
                    <a:stretch>
                      <a:fillRect/>
                    </a:stretch>
                  </pic:blipFill>
                  <pic:spPr>
                    <a:xfrm>
                      <a:off x="0" y="0"/>
                      <a:ext cx="5486400" cy="2248071"/>
                    </a:xfrm>
                    <a:prstGeom prst="rect"/>
                  </pic:spPr>
                </pic:pic>
              </a:graphicData>
            </a:graphic>
          </wp:inline>
        </w:drawing>
      </w:r>
    </w:p>
    <w:p>
      <w:pPr>
        <w:spacing w:after="240"/>
        <w:jc w:val="center"/>
      </w:pPr>
      <w:r>
        <w:rPr>
          <w:i/>
          <w:color w:val="666666"/>
          <w:sz w:val="18"/>
        </w:rPr>
        <w:t>Chart 3 — Employment by economic sector (2002–2025)</w:t>
      </w:r>
    </w:p>
    <w:p>
      <w:r>
        <w:t>Chart 3 shows the quarterly evolution of employment across Spain's four main economic sectors. The most dramatic story in the sectoral data is the rise and catastrophic fall of the construction sector, set against the relentless growth of services.</w:t>
      </w:r>
    </w:p>
    <w:p>
      <w:r>
        <w:rPr>
          <w:b/>
        </w:rPr>
        <w:t>Construction</w:t>
      </w:r>
      <w:r>
        <w:t xml:space="preserve"> — The sector peaked at approximately 2.7 million workers in 2007, fuelled by Spain's housing bubble. Between 2007 and 2013, construction employment collapsed by 62.7%, falling to just 999,000 — a loss of 1.7 million jobs. The recovery has been slow and incomplete: by 2025, construction employs approximately 1.5 million, still 43% below its 2007 peak.</w:t>
      </w:r>
    </w:p>
    <w:p>
      <w:r>
        <w:rPr>
          <w:b/>
        </w:rPr>
        <w:t>Services</w:t>
      </w:r>
      <w:r>
        <w:t xml:space="preserve"> — The dominant sector throughout the entire period, employing roughly 13.7 million in 2007, dipping to 13.0 million during the crisis trough (2013), and growing steadily to approximately 17.0 million by 2025 — a 30.7% increase from the crisis floor. Services now account for over 76% of total employment, up from ~66% in 2007.</w:t>
      </w:r>
    </w:p>
    <w:p>
      <w:r>
        <w:rPr>
          <w:b/>
        </w:rPr>
        <w:t>Industry</w:t>
      </w:r>
      <w:r>
        <w:t xml:space="preserve"> — Relatively stable compared to construction: from 3.4 million in 2007, it fell to 2.3 million in 2013 and has recovered to approximately 3.0 million by 2025 — nearly back to pre-crisis levels.</w:t>
      </w:r>
    </w:p>
    <w:p>
      <w:r>
        <w:rPr>
          <w:b/>
        </w:rPr>
        <w:t>Agriculture</w:t>
      </w:r>
      <w:r>
        <w:t xml:space="preserve"> — The smallest and most stable sector, fluctuating between 700,000 and 870,000 across the entire period with no clear trend.</w:t>
      </w:r>
    </w:p>
    <w:p>
      <w:pPr>
        <w:pStyle w:val="Heading3"/>
      </w:pPr>
      <w:r>
        <w:t>6.4 Employment Evolution and Recovery (Q4)</w:t>
      </w:r>
    </w:p>
    <w:p>
      <w:pPr>
        <w:jc w:val="center"/>
      </w:pPr>
      <w:r>
        <w:drawing>
          <wp:inline xmlns:a="http://schemas.openxmlformats.org/drawingml/2006/main" xmlns:pic="http://schemas.openxmlformats.org/drawingml/2006/picture">
            <wp:extent cx="5486400" cy="2248071"/>
            <wp:docPr id="4" name="Picture 4"/>
            <wp:cNvGraphicFramePr>
              <a:graphicFrameLocks noChangeAspect="1"/>
            </wp:cNvGraphicFramePr>
            <a:graphic>
              <a:graphicData uri="http://schemas.openxmlformats.org/drawingml/2006/picture">
                <pic:pic>
                  <pic:nvPicPr>
                    <pic:cNvPr id="0" name="05_evolucion_empleo_total.png"/>
                    <pic:cNvPicPr/>
                  </pic:nvPicPr>
                  <pic:blipFill>
                    <a:blip r:embed="rId12"/>
                    <a:stretch>
                      <a:fillRect/>
                    </a:stretch>
                  </pic:blipFill>
                  <pic:spPr>
                    <a:xfrm>
                      <a:off x="0" y="0"/>
                      <a:ext cx="5486400" cy="2248071"/>
                    </a:xfrm>
                    <a:prstGeom prst="rect"/>
                  </pic:spPr>
                </pic:pic>
              </a:graphicData>
            </a:graphic>
          </wp:inline>
        </w:drawing>
      </w:r>
    </w:p>
    <w:p>
      <w:pPr>
        <w:spacing w:after="240"/>
        <w:jc w:val="center"/>
      </w:pPr>
      <w:r>
        <w:rPr>
          <w:i/>
          <w:color w:val="666666"/>
          <w:sz w:val="18"/>
        </w:rPr>
        <w:t>Chart 5 — Total employment evolution (2002–2025)</w:t>
      </w:r>
    </w:p>
    <w:p>
      <w:r>
        <w:t>Chart 5 presents the total number of employed persons in Spain over the full 2002–2025 period. The employment trajectory reveals the full economic cycle:</w:t>
      </w:r>
    </w:p>
    <w:p>
      <w:r>
        <w:rPr>
          <w:b/>
        </w:rPr>
        <w:t>Expansion phase (2002–2007):</w:t>
      </w:r>
      <w:r>
        <w:t xml:space="preserve"> Total employment grew from approximately 16.9 million to 20.7 million — a gain of nearly 3.8 million jobs in five years, driven largely by the construction boom and massive immigration. This was one of the fastest employment growth periods in EU history.</w:t>
      </w:r>
    </w:p>
    <w:p>
      <w:r>
        <w:rPr>
          <w:b/>
        </w:rPr>
        <w:t>Great Recession (2008–2013):</w:t>
      </w:r>
      <w:r>
        <w:t xml:space="preserve"> Employment fell sharply from 20.7 million to 17.1 million — a loss of 3.6 million jobs. The destruction was concentrated in construction (−1.7 million) and industry (−1.0 million), with services losing approximately 700,000 jobs. The unemployment rate peaked at 26.1% in Q1 2013.</w:t>
      </w:r>
    </w:p>
    <w:p>
      <w:r>
        <w:rPr>
          <w:b/>
        </w:rPr>
        <w:t>Structural recovery (2014–2019):</w:t>
      </w:r>
      <w:r>
        <w:t xml:space="preserve"> A gradual but sustained recovery brought employment from 17.1 million back to 19.8 million — still below the 2007 peak. The recovery was driven almost entirely by the services sector; construction recovered only modestly.</w:t>
      </w:r>
    </w:p>
    <w:p>
      <w:r>
        <w:rPr>
          <w:b/>
        </w:rPr>
        <w:t>COVID-19 shock and rebound (2020–2025):</w:t>
      </w:r>
      <w:r>
        <w:t xml:space="preserve"> The pandemic caused a sharp but comparatively brief dip (from 19.8 million to ~19.1 million in 2020). Unlike the 2008 crisis, the recovery was swift: employment surpassed the pre-pandemic level by late 2021, exceeded the 2007 all-time high in 2023, and reached a record 22.4 million by mid-2025. This represents a net gain of approximately 5.4 million jobs compared to the 2002 starting point and 1.7 million above the 2007 pre-crisis peak.</w:t>
      </w:r>
    </w:p>
    <w:p>
      <w:r>
        <w:t>The 2025 unemployment rate of ~10% (with Q3 2025 breaking below 10% at 9.93% — the lowest since the pre-2008 era) represents the most favourable labour market in nearly two decades.</w:t>
      </w:r>
    </w:p>
    <w:p>
      <w:pPr>
        <w:pStyle w:val="Heading3"/>
      </w:pPr>
      <w:r>
        <w:t>6.5 Employment Distribution and Territorial Concentration (Q4/Q5)</w:t>
      </w:r>
    </w:p>
    <w:p>
      <w:pPr>
        <w:jc w:val="center"/>
      </w:pPr>
      <w:r>
        <w:drawing>
          <wp:inline xmlns:a="http://schemas.openxmlformats.org/drawingml/2006/main" xmlns:pic="http://schemas.openxmlformats.org/drawingml/2006/picture">
            <wp:extent cx="5486400" cy="7688349"/>
            <wp:docPr id="5" name="Picture 5"/>
            <wp:cNvGraphicFramePr>
              <a:graphicFrameLocks noChangeAspect="1"/>
            </wp:cNvGraphicFramePr>
            <a:graphic>
              <a:graphicData uri="http://schemas.openxmlformats.org/drawingml/2006/picture">
                <pic:pic>
                  <pic:nvPicPr>
                    <pic:cNvPr id="0" name="04_distribucion_ocupados.png"/>
                    <pic:cNvPicPr/>
                  </pic:nvPicPr>
                  <pic:blipFill>
                    <a:blip r:embed="rId13"/>
                    <a:stretch>
                      <a:fillRect/>
                    </a:stretch>
                  </pic:blipFill>
                  <pic:spPr>
                    <a:xfrm>
                      <a:off x="0" y="0"/>
                      <a:ext cx="5486400" cy="7688349"/>
                    </a:xfrm>
                    <a:prstGeom prst="rect"/>
                  </pic:spPr>
                </pic:pic>
              </a:graphicData>
            </a:graphic>
          </wp:inline>
        </w:drawing>
      </w:r>
    </w:p>
    <w:p>
      <w:pPr>
        <w:spacing w:after="240"/>
        <w:jc w:val="center"/>
      </w:pPr>
      <w:r>
        <w:rPr>
          <w:i/>
          <w:color w:val="666666"/>
          <w:sz w:val="18"/>
        </w:rPr>
        <w:t>Chart 4 — Distribution of employed persons by province</w:t>
      </w:r>
    </w:p>
    <w:p>
      <w:r>
        <w:t>Chart 4 shows the distribution of employed persons across Spain's 52 provinces. The distribution is extremely right-skewed: the vast majority of provinces have modest employment figures (under 300,000), while two provinces — Madrid and Barcelona — are dramatic outliers with average employment over 2 million and 1.5 million respectively.</w:t>
      </w:r>
    </w:p>
    <w:p>
      <w:r>
        <w:t xml:space="preserve">This concentration reflects Spain's demographic and economic reality: Madrid and Barcelona together account for roughly a quarter of total national employment. The </w:t>
      </w:r>
      <w:r>
        <w:rPr>
          <w:i/>
        </w:rPr>
        <w:t>España Vacía</w:t>
      </w:r>
      <w:r>
        <w:t xml:space="preserve"> (Empty Spain) phenomenon is clearly visible — many interior provinces (Soria, Teruel, Ávila, Segovia) have very small employment bases, often under 50,000. This territorial concentration has not changed over the 24-year period; if anything, the demographic drift toward large metropolitan areas has intensified.</w:t>
      </w:r>
    </w:p>
    <w:p>
      <w:pPr>
        <w:pStyle w:val="Heading3"/>
      </w:pPr>
      <w:r>
        <w:t>6.6 Territorial Unemployment Patterns — Heatmap (Q1/Q5)</w:t>
      </w:r>
    </w:p>
    <w:p>
      <w:pPr>
        <w:jc w:val="center"/>
      </w:pPr>
      <w:r>
        <w:drawing>
          <wp:inline xmlns:a="http://schemas.openxmlformats.org/drawingml/2006/main" xmlns:pic="http://schemas.openxmlformats.org/drawingml/2006/picture">
            <wp:extent cx="5486400" cy="4166850"/>
            <wp:docPr id="6" name="Picture 6"/>
            <wp:cNvGraphicFramePr>
              <a:graphicFrameLocks noChangeAspect="1"/>
            </wp:cNvGraphicFramePr>
            <a:graphic>
              <a:graphicData uri="http://schemas.openxmlformats.org/drawingml/2006/picture">
                <pic:pic>
                  <pic:nvPicPr>
                    <pic:cNvPr id="0" name="06_heatmap_paro_ccaa.png"/>
                    <pic:cNvPicPr/>
                  </pic:nvPicPr>
                  <pic:blipFill>
                    <a:blip r:embed="rId14"/>
                    <a:stretch>
                      <a:fillRect/>
                    </a:stretch>
                  </pic:blipFill>
                  <pic:spPr>
                    <a:xfrm>
                      <a:off x="0" y="0"/>
                      <a:ext cx="5486400" cy="4166850"/>
                    </a:xfrm>
                    <a:prstGeom prst="rect"/>
                  </pic:spPr>
                </pic:pic>
              </a:graphicData>
            </a:graphic>
          </wp:inline>
        </w:drawing>
      </w:r>
    </w:p>
    <w:p>
      <w:pPr>
        <w:spacing w:after="240"/>
        <w:jc w:val="center"/>
      </w:pPr>
      <w:r>
        <w:rPr>
          <w:i/>
          <w:color w:val="666666"/>
          <w:sz w:val="18"/>
        </w:rPr>
        <w:t>Chart 6 — Unemployment rate heatmap by CCAA and quarter</w:t>
      </w:r>
    </w:p>
    <w:p>
      <w:r>
        <w:t>Chart 6 presents a heatmap of average unemployment rates by Autonomous Community and quarter across 96 quarters. Three structural patterns emerge clearly:</w:t>
      </w:r>
    </w:p>
    <w:p>
      <w:pPr>
        <w:pStyle w:val="ListBullet"/>
      </w:pPr>
      <w:r>
        <w:rPr>
          <w:b/>
        </w:rPr>
        <w:t>Persistent territorial ranking:</w:t>
      </w:r>
      <w:r>
        <w:t xml:space="preserve"> Andalucía, Canarias, Extremadura, and Ceuta/Melilla consistently occupy the top rows (highest unemployment), while País Vasco, Navarra, Aragón, and La Rioja occupy the bottom (lowest). This ranking barely changes across 24 years and three complete economic cycles.</w:t>
      </w:r>
    </w:p>
    <w:p>
      <w:pPr>
        <w:pStyle w:val="ListBullet"/>
      </w:pPr>
      <w:r>
        <w:rPr>
          <w:b/>
        </w:rPr>
        <w:t>Dramatic cyclical amplitude:</w:t>
      </w:r>
      <w:r>
        <w:t xml:space="preserve"> The heatmap reveals the 2008–2013 crisis as a striking band of dark colour cutting across all communities, followed by a gradual lightening during the recovery. The COVID-19 shock is visible as a brief darkening in 2020, much less pronounced than the 2008–2013 crisis.</w:t>
      </w:r>
    </w:p>
    <w:p>
      <w:pPr>
        <w:pStyle w:val="ListBullet"/>
      </w:pPr>
      <w:r>
        <w:rPr>
          <w:b/>
        </w:rPr>
        <w:t>Unequal cyclical impact:</w:t>
      </w:r>
      <w:r>
        <w:t xml:space="preserve"> Communities dependent on construction experienced the sharpest increases, while those with a more diversified industrial base absorbed the shock better. However, the ranking remained stable throughout.</w:t>
      </w:r>
    </w:p>
    <w:p>
      <w:r>
        <w:t>The persistence of the territorial ranking across 24 years that included a housing bubble, financial crisis, labour reforms, a pandemic, and a record recovery is the single strongest finding in this analysis.</w:t>
      </w:r>
    </w:p>
    <w:p>
      <w:pPr>
        <w:pStyle w:val="Heading3"/>
      </w:pPr>
      <w:r>
        <w:t>6.7 Unemployment by Age Group (Q6)</w:t>
      </w:r>
    </w:p>
    <w:p>
      <w:pPr>
        <w:jc w:val="center"/>
      </w:pPr>
      <w:r>
        <w:drawing>
          <wp:inline xmlns:a="http://schemas.openxmlformats.org/drawingml/2006/main" xmlns:pic="http://schemas.openxmlformats.org/drawingml/2006/picture">
            <wp:extent cx="5486400" cy="2714241"/>
            <wp:docPr id="7" name="Picture 7"/>
            <wp:cNvGraphicFramePr>
              <a:graphicFrameLocks noChangeAspect="1"/>
            </wp:cNvGraphicFramePr>
            <a:graphic>
              <a:graphicData uri="http://schemas.openxmlformats.org/drawingml/2006/picture">
                <pic:pic>
                  <pic:nvPicPr>
                    <pic:cNvPr id="0" name="07_paro_por_edad.png"/>
                    <pic:cNvPicPr/>
                  </pic:nvPicPr>
                  <pic:blipFill>
                    <a:blip r:embed="rId15"/>
                    <a:stretch>
                      <a:fillRect/>
                    </a:stretch>
                  </pic:blipFill>
                  <pic:spPr>
                    <a:xfrm>
                      <a:off x="0" y="0"/>
                      <a:ext cx="5486400" cy="2714241"/>
                    </a:xfrm>
                    <a:prstGeom prst="rect"/>
                  </pic:spPr>
                </pic:pic>
              </a:graphicData>
            </a:graphic>
          </wp:inline>
        </w:drawing>
      </w:r>
    </w:p>
    <w:p>
      <w:pPr>
        <w:spacing w:after="240"/>
        <w:jc w:val="center"/>
      </w:pPr>
      <w:r>
        <w:rPr>
          <w:i/>
          <w:color w:val="666666"/>
          <w:sz w:val="18"/>
        </w:rPr>
        <w:t>Chart 7 — Unemployment rate by age group and sex</w:t>
      </w:r>
    </w:p>
    <w:p>
      <w:r>
        <w:t>Chart 7 displays the average unemployment rate for 12 age bands over the 2002–2025 period, broken down by sex. The age gradient is dramatic and consistent across the entire observation window:</w:t>
      </w:r>
    </w:p>
    <w:p>
      <w:r>
        <w:t>The youngest group (16–19 years) faces an average unemployment rate of approximately 42% over the full period — exceeding 74% during the 2013 crisis peak. The 20–24 group averages approximately 28%, while the 25–29 group averages approximately 18%. From age 30 onwards, rates stabilize between 10% and 15% (period averages inflated by the crisis years). This pattern highlights that Spain's high overall unemployment rate is heavily driven by extreme youth unemployment — a structural problem rooted in temporary contracts, educational mismatches, and limited work experience opportunities.</w:t>
      </w:r>
    </w:p>
    <w:p>
      <w:r>
        <w:t>A secondary finding is the U-shaped pattern across ages: after the initial drop from the extreme youth rates, unemployment stabilizes through middle age (30–54), then rises slightly for the 55–64 group. The gender gap varies by age: it is inverted among the youngest (16–19: men typically have slightly higher unemployment), but becomes consistently female-disadvantaged from age 35 onwards, with differences of 2–4 percentage points.</w:t>
      </w:r>
    </w:p>
    <w:p>
      <w:pPr>
        <w:pStyle w:val="Heading3"/>
      </w:pPr>
      <w:r>
        <w:t>6.8 Youth Unemployment Evolution (Q7)</w:t>
      </w:r>
    </w:p>
    <w:p>
      <w:pPr>
        <w:jc w:val="center"/>
      </w:pPr>
      <w:r>
        <w:drawing>
          <wp:inline xmlns:a="http://schemas.openxmlformats.org/drawingml/2006/main" xmlns:pic="http://schemas.openxmlformats.org/drawingml/2006/picture">
            <wp:extent cx="5486400" cy="2319347"/>
            <wp:docPr id="8" name="Picture 8"/>
            <wp:cNvGraphicFramePr>
              <a:graphicFrameLocks noChangeAspect="1"/>
            </wp:cNvGraphicFramePr>
            <a:graphic>
              <a:graphicData uri="http://schemas.openxmlformats.org/drawingml/2006/picture">
                <pic:pic>
                  <pic:nvPicPr>
                    <pic:cNvPr id="0" name="08_paro_juvenil_evolucion.png"/>
                    <pic:cNvPicPr/>
                  </pic:nvPicPr>
                  <pic:blipFill>
                    <a:blip r:embed="rId16"/>
                    <a:stretch>
                      <a:fillRect/>
                    </a:stretch>
                  </pic:blipFill>
                  <pic:spPr>
                    <a:xfrm>
                      <a:off x="0" y="0"/>
                      <a:ext cx="5486400" cy="2319347"/>
                    </a:xfrm>
                    <a:prstGeom prst="rect"/>
                  </pic:spPr>
                </pic:pic>
              </a:graphicData>
            </a:graphic>
          </wp:inline>
        </w:drawing>
      </w:r>
    </w:p>
    <w:p>
      <w:pPr>
        <w:spacing w:after="240"/>
        <w:jc w:val="center"/>
      </w:pPr>
      <w:r>
        <w:rPr>
          <w:i/>
          <w:color w:val="666666"/>
          <w:sz w:val="18"/>
        </w:rPr>
        <w:t>Chart 8 — Youth unemployment evolution (2002–2025)</w:t>
      </w:r>
    </w:p>
    <w:p>
      <w:r>
        <w:t>Chart 8 tracks the quarterly evolution of unemployment for the two youngest age groups (16–19 and 20–24) compared with the overall rate (16+ years, shown as a dashed reference line). The 24-year arc is dramatic:</w:t>
      </w:r>
    </w:p>
    <w:p>
      <w:r>
        <w:rPr>
          <w:b/>
        </w:rPr>
        <w:t>Pre-crisis (2002–2007):</w:t>
      </w:r>
      <w:r>
        <w:t xml:space="preserve"> Youth unemployment for 16–19 was approximately 29–30% and for 20–24 approximately 15–20%, while the overall rate was around 8–12%.</w:t>
      </w:r>
    </w:p>
    <w:p>
      <w:r>
        <w:rPr>
          <w:b/>
        </w:rPr>
        <w:t>Great Recession (2008–2013):</w:t>
      </w:r>
      <w:r>
        <w:t xml:space="preserve"> Youth unemployment exploded. The 16–19 group surged from ~29% to a peak of ~74% in 2013 — effectively meaning three out of four active young people in this age group could not find work. The 20–24 group peaked at ~52%. The overall rate peaked at ~26%.</w:t>
      </w:r>
    </w:p>
    <w:p>
      <w:r>
        <w:rPr>
          <w:b/>
        </w:rPr>
        <w:t>Recovery (2014–2019):</w:t>
      </w:r>
      <w:r>
        <w:t xml:space="preserve"> Both youth groups improved substantially (16–19: ~74% → ~45%; 20–24: ~52% → ~30%), but remained far above the overall rate (~26% → ~14%).</w:t>
      </w:r>
    </w:p>
    <w:p>
      <w:r>
        <w:rPr>
          <w:b/>
        </w:rPr>
        <w:t>Pandemic and rebound (2020–2025):</w:t>
      </w:r>
      <w:r>
        <w:t xml:space="preserve"> After a brief COVID spike in 2020 (16–19: ~54%; 20–24: ~35%), both groups have continued their downward trend. By 2025, the 16–19 group stands at approximately 37% and the 20–24 group at approximately 22%, with the overall rate at ~10%.</w:t>
      </w:r>
    </w:p>
    <w:p>
      <w:r>
        <w:t>Despite this improvement, youth unemployment remains structurally elevated: even at their 2025 levels, the 16–19 group (~37%) is roughly 3.5× the national average (~10%), and the 20–24 group (~22%) is more than double. This persistent youth penalty reflects deep structural issues in the Spanish labour market that successive reforms have only partially addressed.</w:t>
      </w:r>
    </w:p>
    <w:p>
      <w:pPr>
        <w:pStyle w:val="Heading3"/>
      </w:pPr>
      <w:r>
        <w:t>6.9 Unemployment by Age and Nationality (Q8)</w:t>
      </w:r>
    </w:p>
    <w:p>
      <w:pPr>
        <w:jc w:val="center"/>
      </w:pPr>
      <w:r>
        <w:drawing>
          <wp:inline xmlns:a="http://schemas.openxmlformats.org/drawingml/2006/main" xmlns:pic="http://schemas.openxmlformats.org/drawingml/2006/picture">
            <wp:extent cx="5486400" cy="3167596"/>
            <wp:docPr id="9" name="Picture 9"/>
            <wp:cNvGraphicFramePr>
              <a:graphicFrameLocks noChangeAspect="1"/>
            </wp:cNvGraphicFramePr>
            <a:graphic>
              <a:graphicData uri="http://schemas.openxmlformats.org/drawingml/2006/picture">
                <pic:pic>
                  <pic:nvPicPr>
                    <pic:cNvPr id="0" name="09_paro_edad_nacionalidad.png"/>
                    <pic:cNvPicPr/>
                  </pic:nvPicPr>
                  <pic:blipFill>
                    <a:blip r:embed="rId17"/>
                    <a:stretch>
                      <a:fillRect/>
                    </a:stretch>
                  </pic:blipFill>
                  <pic:spPr>
                    <a:xfrm>
                      <a:off x="0" y="0"/>
                      <a:ext cx="5486400" cy="3167596"/>
                    </a:xfrm>
                    <a:prstGeom prst="rect"/>
                  </pic:spPr>
                </pic:pic>
              </a:graphicData>
            </a:graphic>
          </wp:inline>
        </w:drawing>
      </w:r>
    </w:p>
    <w:p>
      <w:pPr>
        <w:spacing w:after="240"/>
        <w:jc w:val="center"/>
      </w:pPr>
      <w:r>
        <w:rPr>
          <w:i/>
          <w:color w:val="666666"/>
          <w:sz w:val="18"/>
        </w:rPr>
        <w:t>Chart 9 — Unemployment rate by age group and nationality</w:t>
      </w:r>
    </w:p>
    <w:p>
      <w:r>
        <w:t>Chart 9 compares the unemployment rate between Spanish nationals and foreign workers across age groups. Foreign workers face higher unemployment in every age bracket, confirming a structural nationality gap in the Spanish labour market.</w:t>
      </w:r>
    </w:p>
    <w:p>
      <w:r>
        <w:t>The gap is smallest in absolute terms among youth (16–24): ~23% vs ~26%, a difference of about 3 percentage points. At the other end, the 55+ group shows approximately 8% for Spanish nationals vs ~16% for foreigners — nearly double. The largest relative gap appears in the 45–54 group (~7% vs ~12%), suggesting that older immigrant workers face particular difficulty in the Spanish labour market.</w:t>
      </w:r>
    </w:p>
    <w:p>
      <w:r>
        <w:t>Over the full 24-year period, the nationality gap has evolved in tandem with immigration patterns. The massive immigration wave of 2002–2007 initially widened the gap as new arrivals concentrated in construction and low-skill services. The 2008 crisis hit immigrant workers disproportionately — many were in the collapsed construction sector — widening the gap further. The recovery has gradually narrowed the gap but it remains structurally present in 2025.</w:t>
      </w:r>
    </w:p>
    <w:p>
      <w:pPr>
        <w:spacing w:before="120" w:after="120"/>
        <w:ind w:left="567"/>
      </w:pPr>
      <w:r>
        <w:rPr>
          <w:i/>
          <w:color w:val="555555"/>
        </w:rPr>
        <w:t>Methodological note: This chart was constructed by merging two separate INE API tables, since no single published table provides unemployment rates disaggregated simultaneously by nationality and age group. Table 65086 provides active persons; Table 65112 provides employed persons. The unemployment rate was computed as tasa_paro = (activos − ocupados) / activos × 100. This derived metric was validated against the official INE table 65336, achieving exact numerical agreement.</w:t>
      </w:r>
    </w:p>
    <w:p>
      <w:pPr>
        <w:pStyle w:val="Heading2"/>
      </w:pPr>
      <w:r>
        <w:t>7. Key Findings Summary</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pPr>
              <w:spacing w:after="40"/>
            </w:pPr>
            <w:r/>
            <w:r>
              <w:rPr>
                <w:rFonts w:ascii="Calibri" w:hAnsi="Calibri"/>
                <w:b/>
                <w:sz w:val="19"/>
              </w:rPr>
              <w:t>#</w:t>
            </w:r>
          </w:p>
        </w:tc>
        <w:tc>
          <w:tcPr>
            <w:tcW w:type="dxa" w:w="3024"/>
          </w:tcPr>
          <w:p>
            <w:pPr>
              <w:spacing w:after="40"/>
            </w:pPr>
            <w:r/>
            <w:r>
              <w:rPr>
                <w:rFonts w:ascii="Calibri" w:hAnsi="Calibri"/>
                <w:b/>
                <w:sz w:val="19"/>
              </w:rPr>
              <w:t>Research Question</w:t>
            </w:r>
          </w:p>
        </w:tc>
        <w:tc>
          <w:tcPr>
            <w:tcW w:type="dxa" w:w="3024"/>
          </w:tcPr>
          <w:p>
            <w:pPr>
              <w:spacing w:after="40"/>
            </w:pPr>
            <w:r/>
            <w:r>
              <w:rPr>
                <w:rFonts w:ascii="Calibri" w:hAnsi="Calibri"/>
                <w:b/>
                <w:sz w:val="19"/>
              </w:rPr>
              <w:t>Finding</w:t>
            </w:r>
          </w:p>
        </w:tc>
      </w:tr>
      <w:tr>
        <w:tc>
          <w:tcPr>
            <w:tcW w:type="dxa" w:w="3024"/>
          </w:tcPr>
          <w:p>
            <w:pPr>
              <w:spacing w:after="40"/>
            </w:pPr>
            <w:r>
              <w:rPr>
                <w:rFonts w:ascii="Calibri" w:hAnsi="Calibri"/>
                <w:sz w:val="19"/>
              </w:rPr>
            </w:r>
            <w:r>
              <w:rPr>
                <w:rFonts w:ascii="Calibri" w:hAnsi="Calibri"/>
                <w:sz w:val="19"/>
              </w:rPr>
              <w:t>Q1</w:t>
            </w:r>
          </w:p>
        </w:tc>
        <w:tc>
          <w:tcPr>
            <w:tcW w:type="dxa" w:w="3024"/>
          </w:tcPr>
          <w:p>
            <w:pPr>
              <w:spacing w:after="40"/>
            </w:pPr>
            <w:r>
              <w:rPr>
                <w:rFonts w:ascii="Calibri" w:hAnsi="Calibri"/>
                <w:sz w:val="19"/>
              </w:rPr>
            </w:r>
            <w:r>
              <w:rPr>
                <w:rFonts w:ascii="Calibri" w:hAnsi="Calibri"/>
                <w:sz w:val="19"/>
              </w:rPr>
              <w:t>Provinces with highest/lowest unemployment?</w:t>
            </w:r>
          </w:p>
        </w:tc>
        <w:tc>
          <w:tcPr>
            <w:tcW w:type="dxa" w:w="3024"/>
          </w:tcPr>
          <w:p>
            <w:pPr>
              <w:spacing w:after="40"/>
            </w:pPr>
            <w:r>
              <w:rPr>
                <w:rFonts w:ascii="Calibri" w:hAnsi="Calibri"/>
                <w:sz w:val="19"/>
              </w:rPr>
            </w:r>
            <w:r>
              <w:rPr>
                <w:rFonts w:ascii="Calibri" w:hAnsi="Calibri"/>
                <w:sz w:val="19"/>
              </w:rPr>
              <w:t>Strong North–South divide persists across 24 years and three economic cycles. Ranking barely changes despite a bubble, a crisis, a pandemic, and a record recovery.</w:t>
            </w:r>
          </w:p>
        </w:tc>
      </w:tr>
      <w:tr>
        <w:tc>
          <w:tcPr>
            <w:tcW w:type="dxa" w:w="3024"/>
          </w:tcPr>
          <w:p>
            <w:pPr>
              <w:spacing w:after="40"/>
            </w:pPr>
            <w:r>
              <w:rPr>
                <w:rFonts w:ascii="Calibri" w:hAnsi="Calibri"/>
                <w:sz w:val="19"/>
              </w:rPr>
            </w:r>
            <w:r>
              <w:rPr>
                <w:rFonts w:ascii="Calibri" w:hAnsi="Calibri"/>
                <w:sz w:val="19"/>
              </w:rPr>
              <w:t>Q2</w:t>
            </w:r>
          </w:p>
        </w:tc>
        <w:tc>
          <w:tcPr>
            <w:tcW w:type="dxa" w:w="3024"/>
          </w:tcPr>
          <w:p>
            <w:pPr>
              <w:spacing w:after="40"/>
            </w:pPr>
            <w:r>
              <w:rPr>
                <w:rFonts w:ascii="Calibri" w:hAnsi="Calibri"/>
                <w:sz w:val="19"/>
              </w:rPr>
            </w:r>
            <w:r>
              <w:rPr>
                <w:rFonts w:ascii="Calibri" w:hAnsi="Calibri"/>
                <w:sz w:val="19"/>
              </w:rPr>
              <w:t>Gender gap in unemployment?</w:t>
            </w:r>
          </w:p>
        </w:tc>
        <w:tc>
          <w:tcPr>
            <w:tcW w:type="dxa" w:w="3024"/>
          </w:tcPr>
          <w:p>
            <w:pPr>
              <w:spacing w:after="40"/>
            </w:pPr>
            <w:r>
              <w:rPr>
                <w:rFonts w:ascii="Calibri" w:hAnsi="Calibri"/>
                <w:sz w:val="19"/>
              </w:rPr>
            </w:r>
            <w:r>
              <w:rPr>
                <w:rFonts w:ascii="Calibri" w:hAnsi="Calibri"/>
                <w:sz w:val="19"/>
              </w:rPr>
              <w:t>Women's unemployment is persistently higher. Gap narrowed sharply during 2008 crisis, re-established during recovery, narrowed again to ~2–3 pp by 2025.</w:t>
            </w:r>
          </w:p>
        </w:tc>
      </w:tr>
      <w:tr>
        <w:tc>
          <w:tcPr>
            <w:tcW w:type="dxa" w:w="3024"/>
          </w:tcPr>
          <w:p>
            <w:pPr>
              <w:spacing w:after="40"/>
            </w:pPr>
            <w:r>
              <w:rPr>
                <w:rFonts w:ascii="Calibri" w:hAnsi="Calibri"/>
                <w:sz w:val="19"/>
              </w:rPr>
            </w:r>
            <w:r>
              <w:rPr>
                <w:rFonts w:ascii="Calibri" w:hAnsi="Calibri"/>
                <w:sz w:val="19"/>
              </w:rPr>
              <w:t>Q3</w:t>
            </w:r>
          </w:p>
        </w:tc>
        <w:tc>
          <w:tcPr>
            <w:tcW w:type="dxa" w:w="3024"/>
          </w:tcPr>
          <w:p>
            <w:pPr>
              <w:spacing w:after="40"/>
            </w:pPr>
            <w:r>
              <w:rPr>
                <w:rFonts w:ascii="Calibri" w:hAnsi="Calibri"/>
                <w:sz w:val="19"/>
              </w:rPr>
            </w:r>
            <w:r>
              <w:rPr>
                <w:rFonts w:ascii="Calibri" w:hAnsi="Calibri"/>
                <w:sz w:val="19"/>
              </w:rPr>
              <w:t>Sectoral composition?</w:t>
            </w:r>
          </w:p>
        </w:tc>
        <w:tc>
          <w:tcPr>
            <w:tcW w:type="dxa" w:w="3024"/>
          </w:tcPr>
          <w:p>
            <w:pPr>
              <w:spacing w:after="40"/>
            </w:pPr>
            <w:r>
              <w:rPr>
                <w:rFonts w:ascii="Calibri" w:hAnsi="Calibri"/>
                <w:sz w:val="19"/>
              </w:rPr>
            </w:r>
            <w:r>
              <w:rPr>
                <w:rFonts w:ascii="Calibri" w:hAnsi="Calibri"/>
                <w:sz w:val="19"/>
              </w:rPr>
              <w:t>Construction collapsed by 63% (2007–2013) and has only partially recovered. Services grew from ~66% to &gt;76% of total employment.</w:t>
            </w:r>
          </w:p>
        </w:tc>
      </w:tr>
      <w:tr>
        <w:tc>
          <w:tcPr>
            <w:tcW w:type="dxa" w:w="3024"/>
          </w:tcPr>
          <w:p>
            <w:pPr>
              <w:spacing w:after="40"/>
            </w:pPr>
            <w:r>
              <w:rPr>
                <w:rFonts w:ascii="Calibri" w:hAnsi="Calibri"/>
                <w:sz w:val="19"/>
              </w:rPr>
            </w:r>
            <w:r>
              <w:rPr>
                <w:rFonts w:ascii="Calibri" w:hAnsi="Calibri"/>
                <w:sz w:val="19"/>
              </w:rPr>
              <w:t>Q4</w:t>
            </w:r>
          </w:p>
        </w:tc>
        <w:tc>
          <w:tcPr>
            <w:tcW w:type="dxa" w:w="3024"/>
          </w:tcPr>
          <w:p>
            <w:pPr>
              <w:spacing w:after="40"/>
            </w:pPr>
            <w:r>
              <w:rPr>
                <w:rFonts w:ascii="Calibri" w:hAnsi="Calibri"/>
                <w:sz w:val="19"/>
              </w:rPr>
            </w:r>
            <w:r>
              <w:rPr>
                <w:rFonts w:ascii="Calibri" w:hAnsi="Calibri"/>
                <w:sz w:val="19"/>
              </w:rPr>
              <w:t>Employment trend?</w:t>
            </w:r>
          </w:p>
        </w:tc>
        <w:tc>
          <w:tcPr>
            <w:tcW w:type="dxa" w:w="3024"/>
          </w:tcPr>
          <w:p>
            <w:pPr>
              <w:spacing w:after="40"/>
            </w:pPr>
            <w:r>
              <w:rPr>
                <w:rFonts w:ascii="Calibri" w:hAnsi="Calibri"/>
                <w:sz w:val="19"/>
              </w:rPr>
            </w:r>
            <w:r>
              <w:rPr>
                <w:rFonts w:ascii="Calibri" w:hAnsi="Calibri"/>
                <w:sz w:val="19"/>
              </w:rPr>
              <w:t>Full cycle: 16.9M (2002) → 20.7M (2007) → 17.1M (2013) → 22.4M (2025 record). Spain lost 3.6M jobs in the Great Recession, reached unprecedented levels by 2025.</w:t>
            </w:r>
          </w:p>
        </w:tc>
      </w:tr>
      <w:tr>
        <w:tc>
          <w:tcPr>
            <w:tcW w:type="dxa" w:w="3024"/>
          </w:tcPr>
          <w:p>
            <w:pPr>
              <w:spacing w:after="40"/>
            </w:pPr>
            <w:r>
              <w:rPr>
                <w:rFonts w:ascii="Calibri" w:hAnsi="Calibri"/>
                <w:sz w:val="19"/>
              </w:rPr>
            </w:r>
            <w:r>
              <w:rPr>
                <w:rFonts w:ascii="Calibri" w:hAnsi="Calibri"/>
                <w:sz w:val="19"/>
              </w:rPr>
              <w:t>Q5</w:t>
            </w:r>
          </w:p>
        </w:tc>
        <w:tc>
          <w:tcPr>
            <w:tcW w:type="dxa" w:w="3024"/>
          </w:tcPr>
          <w:p>
            <w:pPr>
              <w:spacing w:after="40"/>
            </w:pPr>
            <w:r>
              <w:rPr>
                <w:rFonts w:ascii="Calibri" w:hAnsi="Calibri"/>
                <w:sz w:val="19"/>
              </w:rPr>
            </w:r>
            <w:r>
              <w:rPr>
                <w:rFonts w:ascii="Calibri" w:hAnsi="Calibri"/>
                <w:sz w:val="19"/>
              </w:rPr>
              <w:t>Seasonality?</w:t>
            </w:r>
          </w:p>
        </w:tc>
        <w:tc>
          <w:tcPr>
            <w:tcW w:type="dxa" w:w="3024"/>
          </w:tcPr>
          <w:p>
            <w:pPr>
              <w:spacing w:after="40"/>
            </w:pPr>
            <w:r>
              <w:rPr>
                <w:rFonts w:ascii="Calibri" w:hAnsi="Calibri"/>
                <w:sz w:val="19"/>
              </w:rPr>
            </w:r>
            <w:r>
              <w:rPr>
                <w:rFonts w:ascii="Calibri" w:hAnsi="Calibri"/>
                <w:sz w:val="19"/>
              </w:rPr>
              <w:t>Quarterly patterns exist but are secondary to cyclical dynamics and persistent structural regional differences.</w:t>
            </w:r>
          </w:p>
        </w:tc>
      </w:tr>
      <w:tr>
        <w:tc>
          <w:tcPr>
            <w:tcW w:type="dxa" w:w="3024"/>
          </w:tcPr>
          <w:p>
            <w:pPr>
              <w:spacing w:after="40"/>
            </w:pPr>
            <w:r>
              <w:rPr>
                <w:rFonts w:ascii="Calibri" w:hAnsi="Calibri"/>
                <w:sz w:val="19"/>
              </w:rPr>
            </w:r>
            <w:r>
              <w:rPr>
                <w:rFonts w:ascii="Calibri" w:hAnsi="Calibri"/>
                <w:sz w:val="19"/>
              </w:rPr>
              <w:t>Q6</w:t>
            </w:r>
          </w:p>
        </w:tc>
        <w:tc>
          <w:tcPr>
            <w:tcW w:type="dxa" w:w="3024"/>
          </w:tcPr>
          <w:p>
            <w:pPr>
              <w:spacing w:after="40"/>
            </w:pPr>
            <w:r>
              <w:rPr>
                <w:rFonts w:ascii="Calibri" w:hAnsi="Calibri"/>
                <w:sz w:val="19"/>
              </w:rPr>
            </w:r>
            <w:r>
              <w:rPr>
                <w:rFonts w:ascii="Calibri" w:hAnsi="Calibri"/>
                <w:sz w:val="19"/>
              </w:rPr>
              <w:t>Unemployment by age and sex?</w:t>
            </w:r>
          </w:p>
        </w:tc>
        <w:tc>
          <w:tcPr>
            <w:tcW w:type="dxa" w:w="3024"/>
          </w:tcPr>
          <w:p>
            <w:pPr>
              <w:spacing w:after="40"/>
            </w:pPr>
            <w:r>
              <w:rPr>
                <w:rFonts w:ascii="Calibri" w:hAnsi="Calibri"/>
                <w:sz w:val="19"/>
              </w:rPr>
            </w:r>
            <w:r>
              <w:rPr>
                <w:rFonts w:ascii="Calibri" w:hAnsi="Calibri"/>
                <w:sz w:val="19"/>
              </w:rPr>
              <w:t>Youth unemployment extreme and structural: 16–19 group averaged ~42% (peaked at 74% in 2013). Age gradient is the strongest predictor.</w:t>
            </w:r>
          </w:p>
        </w:tc>
      </w:tr>
      <w:tr>
        <w:tc>
          <w:tcPr>
            <w:tcW w:type="dxa" w:w="3024"/>
          </w:tcPr>
          <w:p>
            <w:pPr>
              <w:spacing w:after="40"/>
            </w:pPr>
            <w:r>
              <w:rPr>
                <w:rFonts w:ascii="Calibri" w:hAnsi="Calibri"/>
                <w:sz w:val="19"/>
              </w:rPr>
            </w:r>
            <w:r>
              <w:rPr>
                <w:rFonts w:ascii="Calibri" w:hAnsi="Calibri"/>
                <w:sz w:val="19"/>
              </w:rPr>
              <w:t>Q7</w:t>
            </w:r>
          </w:p>
        </w:tc>
        <w:tc>
          <w:tcPr>
            <w:tcW w:type="dxa" w:w="3024"/>
          </w:tcPr>
          <w:p>
            <w:pPr>
              <w:spacing w:after="40"/>
            </w:pPr>
            <w:r>
              <w:rPr>
                <w:rFonts w:ascii="Calibri" w:hAnsi="Calibri"/>
                <w:sz w:val="19"/>
              </w:rPr>
            </w:r>
            <w:r>
              <w:rPr>
                <w:rFonts w:ascii="Calibri" w:hAnsi="Calibri"/>
                <w:sz w:val="19"/>
              </w:rPr>
              <w:t>Youth unemployment evolution?</w:t>
            </w:r>
          </w:p>
        </w:tc>
        <w:tc>
          <w:tcPr>
            <w:tcW w:type="dxa" w:w="3024"/>
          </w:tcPr>
          <w:p>
            <w:pPr>
              <w:spacing w:after="40"/>
            </w:pPr>
            <w:r>
              <w:rPr>
                <w:rFonts w:ascii="Calibri" w:hAnsi="Calibri"/>
                <w:sz w:val="19"/>
              </w:rPr>
            </w:r>
            <w:r>
              <w:rPr>
                <w:rFonts w:ascii="Calibri" w:hAnsi="Calibri"/>
                <w:sz w:val="19"/>
              </w:rPr>
              <w:t>16–19: ~30% (2002) → 74% (2013) → 37% (2025); 20–24: ~20% → 52% → 22%. Dramatic improvement but still 2–3.5× the national average.</w:t>
            </w:r>
          </w:p>
        </w:tc>
      </w:tr>
      <w:tr>
        <w:tc>
          <w:tcPr>
            <w:tcW w:type="dxa" w:w="3024"/>
          </w:tcPr>
          <w:p>
            <w:pPr>
              <w:spacing w:after="40"/>
            </w:pPr>
            <w:r>
              <w:rPr>
                <w:rFonts w:ascii="Calibri" w:hAnsi="Calibri"/>
                <w:sz w:val="19"/>
              </w:rPr>
            </w:r>
            <w:r>
              <w:rPr>
                <w:rFonts w:ascii="Calibri" w:hAnsi="Calibri"/>
                <w:sz w:val="19"/>
              </w:rPr>
              <w:t>Q8</w:t>
            </w:r>
          </w:p>
        </w:tc>
        <w:tc>
          <w:tcPr>
            <w:tcW w:type="dxa" w:w="3024"/>
          </w:tcPr>
          <w:p>
            <w:pPr>
              <w:spacing w:after="40"/>
            </w:pPr>
            <w:r>
              <w:rPr>
                <w:rFonts w:ascii="Calibri" w:hAnsi="Calibri"/>
                <w:sz w:val="19"/>
              </w:rPr>
            </w:r>
            <w:r>
              <w:rPr>
                <w:rFonts w:ascii="Calibri" w:hAnsi="Calibri"/>
                <w:sz w:val="19"/>
              </w:rPr>
              <w:t>Nationality gap?</w:t>
            </w:r>
          </w:p>
        </w:tc>
        <w:tc>
          <w:tcPr>
            <w:tcW w:type="dxa" w:w="3024"/>
          </w:tcPr>
          <w:p>
            <w:pPr>
              <w:spacing w:after="40"/>
            </w:pPr>
            <w:r>
              <w:rPr>
                <w:rFonts w:ascii="Calibri" w:hAnsi="Calibri"/>
                <w:sz w:val="19"/>
              </w:rPr>
            </w:r>
            <w:r>
              <w:rPr>
                <w:rFonts w:ascii="Calibri" w:hAnsi="Calibri"/>
                <w:sz w:val="19"/>
              </w:rPr>
              <w:t>Foreign-born workers have consistently higher unemployment. Gap widened during 2008 crisis, has gradually narrowed but remains structural in 2025.</w:t>
            </w:r>
          </w:p>
        </w:tc>
      </w:tr>
    </w:tbl>
    <w:p/>
    <w:p>
      <w:pPr>
        <w:pStyle w:val="Heading2"/>
      </w:pPr>
      <w:r>
        <w:t>8. Additional Findings</w:t>
      </w:r>
    </w:p>
    <w:p>
      <w:pPr>
        <w:pStyle w:val="Heading3"/>
      </w:pPr>
      <w:r>
        <w:t>8.1 The Construction Bubble and Its Labour Market Legacy</w:t>
      </w:r>
    </w:p>
    <w:p>
      <w:r>
        <w:t>The construction sector's trajectory is the most dramatic individual story in the 24-year dataset. From approximately 1.8 million workers in 2002, the sector grew to a peak of 2.7 million in 2007. The collapse between 2007 and 2013 destroyed 1.7 million construction jobs — a 62.7% decline. By 2025, construction employs approximately 1.5 million, still 43% below its 2007 peak. The sector's share of total employment shrank from ~13% in 2007 to ~7% in 2025.</w:t>
      </w:r>
    </w:p>
    <w:p>
      <w:pPr>
        <w:pStyle w:val="Heading3"/>
      </w:pPr>
      <w:r>
        <w:t>8.2 The 2008–2013 Great Recession: Scale and Duration</w:t>
      </w:r>
    </w:p>
    <w:p>
      <w:r>
        <w:t>The Great Recession's impact on the Spanish labour market was among the most severe in Europe. Unemployment tripled from 7.93% (Q1 2007, the all-time low in the dataset) to 26.06% (Q1 2013). The crisis destroyed 3.6 million jobs over five years, with the unemployment rate exceeding 20% for 16 consecutive quarters (Q1 2010 through Q4 2013).</w:t>
      </w:r>
    </w:p>
    <w:p>
      <w:pPr>
        <w:pStyle w:val="Heading3"/>
      </w:pPr>
      <w:r>
        <w:t>8.3 Labour Market Flexibility (2020)</w:t>
      </w:r>
    </w:p>
    <w:p>
      <w:r>
        <w:t xml:space="preserve">The response to the 2020 COVID-19 shock was markedly different from the 2008 crisis. Labour market flexibility mechanisms (ERTEs — </w:t>
      </w:r>
      <w:r>
        <w:rPr>
          <w:i/>
        </w:rPr>
        <w:t>Expedientes de Regulación Temporal de Empleo</w:t>
      </w:r>
      <w:r>
        <w:t>) preserved employment contracts for millions of workers. The 2020 unemployment spike was comparatively mild (~16% vs ~26% in 2013) despite a GDP contraction of −10.8%. The recovery was also dramatically faster: pre-pandemic employment levels were regained by late 2021, compared to the decade-long recovery from 2008.</w:t>
      </w:r>
    </w:p>
    <w:p>
      <w:pPr>
        <w:pStyle w:val="Heading3"/>
      </w:pPr>
      <w:r>
        <w:t>8.4 The 2021 Labour Reform Impact</w:t>
      </w:r>
    </w:p>
    <w:p>
      <w:r>
        <w:t>The 2021 labour reform (</w:t>
      </w:r>
      <w:r>
        <w:rPr>
          <w:i/>
        </w:rPr>
        <w:t>Reforma Laboral</w:t>
      </w:r>
      <w:r>
        <w:t>) aimed to reduce temporary employment by converting fixed-term contracts to permanent ones. The data from 2022 onward shows sustained employment growth and continued reduction in unemployment. Employment reached record highs (22.4 million by 2025) while the unemployment rate fell below 10% for the first time since 2007 — suggesting a favourable structural shift, though aggregate EPA data does not distinguish contract types.</w:t>
      </w:r>
    </w:p>
    <w:p>
      <w:pPr>
        <w:pStyle w:val="Heading3"/>
      </w:pPr>
      <w:r>
        <w:t>8.5 The Services Sector Dominance</w:t>
      </w:r>
    </w:p>
    <w:p>
      <w:r>
        <w:t>The services sector has been the dominant and growing engine of Spanish employment throughout the entire 24-year period. Its share has risen from approximately 66% in 2007 to over 76% in 2025. While this reflects a modern, diversified economy, it also creates vulnerability to sector-specific shocks — as demonstrated by the severe impact on tourism-dependent regions during the 2020 pandemic.</w:t>
      </w:r>
    </w:p>
    <w:p>
      <w:pPr>
        <w:pStyle w:val="Heading3"/>
      </w:pPr>
      <w:r>
        <w:t>8.6 The 'Empty Spain' Challenge</w:t>
      </w:r>
    </w:p>
    <w:p>
      <w:r>
        <w:t xml:space="preserve">The extreme concentration of employment in Madrid and Barcelona reflects the broader </w:t>
      </w:r>
      <w:r>
        <w:rPr>
          <w:i/>
        </w:rPr>
        <w:t>España Vacía</w:t>
      </w:r>
      <w:r>
        <w:t xml:space="preserve"> (Empty Spain) demographic challenge. Interior and rural provinces face not just low employment in absolute terms, but declining populations that make local economic revitalization increasingly difficult. This structural imbalance has been a constant feature across all 96 quarters.</w:t>
      </w:r>
    </w:p>
    <w:p>
      <w:pPr>
        <w:pStyle w:val="Heading3"/>
      </w:pPr>
      <w:r>
        <w:t>8.7 Immigration and the Labour Market</w:t>
      </w:r>
    </w:p>
    <w:p>
      <w:r>
        <w:t>The 2002–2025 period coincides with Spain's transformation into a country of net immigration. The foreign-born population grew rapidly between 2002 and 2008, with immigrants concentrating in construction, agriculture, and hospitality. The 2008 crisis disproportionately impacted these workers, and some emigration occurred. The 2014–2025 recovery has seen renewed immigration and some narrowing of the nationality gap, but foreign workers remain more vulnerable to cyclical downturns due to their sectoral concentration.</w:t>
      </w:r>
    </w:p>
    <w:p>
      <w:pPr>
        <w:pStyle w:val="Heading2"/>
      </w:pPr>
      <w:r>
        <w:t>9. Data Quality Report</w:t>
      </w:r>
    </w:p>
    <w:p>
      <w:r>
        <w:rPr>
          <w:b/>
        </w:rPr>
        <w:t>Issues found in the raw CSV:</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pPr>
              <w:spacing w:after="40"/>
            </w:pPr>
            <w:r/>
            <w:r>
              <w:rPr>
                <w:rFonts w:ascii="Calibri" w:hAnsi="Calibri"/>
                <w:b/>
                <w:sz w:val="19"/>
              </w:rPr>
              <w:t>Issue</w:t>
            </w:r>
          </w:p>
        </w:tc>
        <w:tc>
          <w:tcPr>
            <w:tcW w:type="dxa" w:w="3024"/>
          </w:tcPr>
          <w:p>
            <w:pPr>
              <w:spacing w:after="40"/>
            </w:pPr>
            <w:r/>
            <w:r>
              <w:rPr>
                <w:rFonts w:ascii="Calibri" w:hAnsi="Calibri"/>
                <w:b/>
                <w:sz w:val="19"/>
              </w:rPr>
              <w:t>Affected columns</w:t>
            </w:r>
          </w:p>
        </w:tc>
        <w:tc>
          <w:tcPr>
            <w:tcW w:type="dxa" w:w="3024"/>
          </w:tcPr>
          <w:p>
            <w:pPr>
              <w:spacing w:after="40"/>
            </w:pPr>
            <w:r/>
            <w:r>
              <w:rPr>
                <w:rFonts w:ascii="Calibri" w:hAnsi="Calibri"/>
                <w:b/>
                <w:sz w:val="19"/>
              </w:rPr>
              <w:t>Extent</w:t>
            </w:r>
          </w:p>
        </w:tc>
      </w:tr>
      <w:tr>
        <w:tc>
          <w:tcPr>
            <w:tcW w:type="dxa" w:w="3024"/>
          </w:tcPr>
          <w:p>
            <w:pPr>
              <w:spacing w:after="40"/>
            </w:pPr>
            <w:r>
              <w:rPr>
                <w:rFonts w:ascii="Calibri" w:hAnsi="Calibri"/>
                <w:sz w:val="19"/>
              </w:rPr>
            </w:r>
            <w:r>
              <w:rPr>
                <w:rFonts w:ascii="Calibri" w:hAnsi="Calibri"/>
                <w:sz w:val="19"/>
              </w:rPr>
              <w:t>Mixed date formats (5 distinct patterns)</w:t>
            </w:r>
          </w:p>
        </w:tc>
        <w:tc>
          <w:tcPr>
            <w:tcW w:type="dxa" w:w="3024"/>
          </w:tcPr>
          <w:p>
            <w:pPr>
              <w:spacing w:after="40"/>
            </w:pPr>
            <w:r>
              <w:rPr>
                <w:rFonts w:ascii="Calibri" w:hAnsi="Calibri"/>
                <w:sz w:val="19"/>
              </w:rPr>
            </w:r>
            <w:r>
              <w:rPr>
                <w:rFonts w:ascii="Calibri" w:hAnsi="Calibri"/>
                <w:sz w:val="19"/>
              </w:rPr>
              <w:t>Fecha</w:t>
            </w:r>
          </w:p>
        </w:tc>
        <w:tc>
          <w:tcPr>
            <w:tcW w:type="dxa" w:w="3024"/>
          </w:tcPr>
          <w:p>
            <w:pPr>
              <w:spacing w:after="40"/>
            </w:pPr>
            <w:r>
              <w:rPr>
                <w:rFonts w:ascii="Calibri" w:hAnsi="Calibri"/>
                <w:sz w:val="19"/>
              </w:rPr>
            </w:r>
            <w:r>
              <w:rPr>
                <w:rFonts w:ascii="Calibri" w:hAnsi="Calibri"/>
                <w:sz w:val="19"/>
              </w:rPr>
              <w:t>100% of dates</w:t>
            </w:r>
          </w:p>
        </w:tc>
      </w:tr>
      <w:tr>
        <w:tc>
          <w:tcPr>
            <w:tcW w:type="dxa" w:w="3024"/>
          </w:tcPr>
          <w:p>
            <w:pPr>
              <w:spacing w:after="40"/>
            </w:pPr>
            <w:r>
              <w:rPr>
                <w:rFonts w:ascii="Calibri" w:hAnsi="Calibri"/>
                <w:sz w:val="19"/>
              </w:rPr>
            </w:r>
            <w:r>
              <w:rPr>
                <w:rFonts w:ascii="Calibri" w:hAnsi="Calibri"/>
                <w:sz w:val="19"/>
              </w:rPr>
              <w:t>Comma decimal separators</w:t>
            </w:r>
          </w:p>
        </w:tc>
        <w:tc>
          <w:tcPr>
            <w:tcW w:type="dxa" w:w="3024"/>
          </w:tcPr>
          <w:p>
            <w:pPr>
              <w:spacing w:after="40"/>
            </w:pPr>
            <w:r>
              <w:rPr>
                <w:rFonts w:ascii="Calibri" w:hAnsi="Calibri"/>
                <w:sz w:val="19"/>
              </w:rPr>
            </w:r>
            <w:r>
              <w:rPr>
                <w:rFonts w:ascii="Calibri" w:hAnsi="Calibri"/>
                <w:sz w:val="19"/>
              </w:rPr>
              <w:t>Valor</w:t>
            </w:r>
          </w:p>
        </w:tc>
        <w:tc>
          <w:tcPr>
            <w:tcW w:type="dxa" w:w="3024"/>
          </w:tcPr>
          <w:p>
            <w:pPr>
              <w:spacing w:after="40"/>
            </w:pPr>
            <w:r>
              <w:rPr>
                <w:rFonts w:ascii="Calibri" w:hAnsi="Calibri"/>
                <w:sz w:val="19"/>
              </w:rPr>
            </w:r>
            <w:r>
              <w:rPr>
                <w:rFonts w:ascii="Calibri" w:hAnsi="Calibri"/>
                <w:sz w:val="19"/>
              </w:rPr>
              <w:t>~10% of values</w:t>
            </w:r>
          </w:p>
        </w:tc>
      </w:tr>
      <w:tr>
        <w:tc>
          <w:tcPr>
            <w:tcW w:type="dxa" w:w="3024"/>
          </w:tcPr>
          <w:p>
            <w:pPr>
              <w:spacing w:after="40"/>
            </w:pPr>
            <w:r>
              <w:rPr>
                <w:rFonts w:ascii="Calibri" w:hAnsi="Calibri"/>
                <w:sz w:val="19"/>
              </w:rPr>
            </w:r>
            <w:r>
              <w:rPr>
                <w:rFonts w:ascii="Calibri" w:hAnsi="Calibri"/>
                <w:sz w:val="19"/>
              </w:rPr>
              <w:t>Inconsistent casing (UPPER vs. Title case)</w:t>
            </w:r>
          </w:p>
        </w:tc>
        <w:tc>
          <w:tcPr>
            <w:tcW w:type="dxa" w:w="3024"/>
          </w:tcPr>
          <w:p>
            <w:pPr>
              <w:spacing w:after="40"/>
            </w:pPr>
            <w:r>
              <w:rPr>
                <w:rFonts w:ascii="Calibri" w:hAnsi="Calibri"/>
                <w:sz w:val="19"/>
              </w:rPr>
            </w:r>
            <w:r>
              <w:rPr>
                <w:rFonts w:ascii="Calibri" w:hAnsi="Calibri"/>
                <w:sz w:val="19"/>
              </w:rPr>
              <w:t>Serie Nombre</w:t>
            </w:r>
          </w:p>
        </w:tc>
        <w:tc>
          <w:tcPr>
            <w:tcW w:type="dxa" w:w="3024"/>
          </w:tcPr>
          <w:p>
            <w:pPr>
              <w:spacing w:after="40"/>
            </w:pPr>
            <w:r>
              <w:rPr>
                <w:rFonts w:ascii="Calibri" w:hAnsi="Calibri"/>
                <w:sz w:val="19"/>
              </w:rPr>
            </w:r>
            <w:r>
              <w:rPr>
                <w:rFonts w:ascii="Calibri" w:hAnsi="Calibri"/>
                <w:sz w:val="19"/>
              </w:rPr>
              <w:t>~5% of rows</w:t>
            </w:r>
          </w:p>
        </w:tc>
      </w:tr>
      <w:tr>
        <w:tc>
          <w:tcPr>
            <w:tcW w:type="dxa" w:w="3024"/>
          </w:tcPr>
          <w:p>
            <w:pPr>
              <w:spacing w:after="40"/>
            </w:pPr>
            <w:r>
              <w:rPr>
                <w:rFonts w:ascii="Calibri" w:hAnsi="Calibri"/>
                <w:sz w:val="19"/>
              </w:rPr>
            </w:r>
            <w:r>
              <w:rPr>
                <w:rFonts w:ascii="Calibri" w:hAnsi="Calibri"/>
                <w:sz w:val="19"/>
              </w:rPr>
              <w:t>Extra whitespace in series names</w:t>
            </w:r>
          </w:p>
        </w:tc>
        <w:tc>
          <w:tcPr>
            <w:tcW w:type="dxa" w:w="3024"/>
          </w:tcPr>
          <w:p>
            <w:pPr>
              <w:spacing w:after="40"/>
            </w:pPr>
            <w:r>
              <w:rPr>
                <w:rFonts w:ascii="Calibri" w:hAnsi="Calibri"/>
                <w:sz w:val="19"/>
              </w:rPr>
            </w:r>
            <w:r>
              <w:rPr>
                <w:rFonts w:ascii="Calibri" w:hAnsi="Calibri"/>
                <w:sz w:val="19"/>
              </w:rPr>
              <w:t>Serie Nombre</w:t>
            </w:r>
          </w:p>
        </w:tc>
        <w:tc>
          <w:tcPr>
            <w:tcW w:type="dxa" w:w="3024"/>
          </w:tcPr>
          <w:p>
            <w:pPr>
              <w:spacing w:after="40"/>
            </w:pPr>
            <w:r>
              <w:rPr>
                <w:rFonts w:ascii="Calibri" w:hAnsi="Calibri"/>
                <w:sz w:val="19"/>
              </w:rPr>
            </w:r>
            <w:r>
              <w:rPr>
                <w:rFonts w:ascii="Calibri" w:hAnsi="Calibri"/>
                <w:sz w:val="19"/>
              </w:rPr>
              <w:t>~3% of rows</w:t>
            </w:r>
          </w:p>
        </w:tc>
      </w:tr>
      <w:tr>
        <w:tc>
          <w:tcPr>
            <w:tcW w:type="dxa" w:w="3024"/>
          </w:tcPr>
          <w:p>
            <w:pPr>
              <w:spacing w:after="40"/>
            </w:pPr>
            <w:r>
              <w:rPr>
                <w:rFonts w:ascii="Calibri" w:hAnsi="Calibri"/>
                <w:sz w:val="19"/>
              </w:rPr>
            </w:r>
            <w:r>
              <w:rPr>
                <w:rFonts w:ascii="Calibri" w:hAnsi="Calibri"/>
                <w:sz w:val="19"/>
              </w:rPr>
              <w:t>All dimensions packed in one string</w:t>
            </w:r>
          </w:p>
        </w:tc>
        <w:tc>
          <w:tcPr>
            <w:tcW w:type="dxa" w:w="3024"/>
          </w:tcPr>
          <w:p>
            <w:pPr>
              <w:spacing w:after="40"/>
            </w:pPr>
            <w:r>
              <w:rPr>
                <w:rFonts w:ascii="Calibri" w:hAnsi="Calibri"/>
                <w:sz w:val="19"/>
              </w:rPr>
            </w:r>
            <w:r>
              <w:rPr>
                <w:rFonts w:ascii="Calibri" w:hAnsi="Calibri"/>
                <w:sz w:val="19"/>
              </w:rPr>
              <w:t>Serie Nombre</w:t>
            </w:r>
          </w:p>
        </w:tc>
        <w:tc>
          <w:tcPr>
            <w:tcW w:type="dxa" w:w="3024"/>
          </w:tcPr>
          <w:p>
            <w:pPr>
              <w:spacing w:after="40"/>
            </w:pPr>
            <w:r>
              <w:rPr>
                <w:rFonts w:ascii="Calibri" w:hAnsi="Calibri"/>
                <w:sz w:val="19"/>
              </w:rPr>
            </w:r>
            <w:r>
              <w:rPr>
                <w:rFonts w:ascii="Calibri" w:hAnsi="Calibri"/>
                <w:sz w:val="19"/>
              </w:rPr>
              <w:t>100%</w:t>
            </w:r>
          </w:p>
        </w:tc>
      </w:tr>
      <w:tr>
        <w:tc>
          <w:tcPr>
            <w:tcW w:type="dxa" w:w="3024"/>
          </w:tcPr>
          <w:p>
            <w:pPr>
              <w:spacing w:after="40"/>
            </w:pPr>
            <w:r>
              <w:rPr>
                <w:rFonts w:ascii="Calibri" w:hAnsi="Calibri"/>
                <w:sz w:val="19"/>
              </w:rPr>
            </w:r>
            <w:r>
              <w:rPr>
                <w:rFonts w:ascii="Calibri" w:hAnsi="Calibri"/>
                <w:sz w:val="19"/>
              </w:rPr>
              <w:t>Dirty column names (spaces, mixed case)</w:t>
            </w:r>
          </w:p>
        </w:tc>
        <w:tc>
          <w:tcPr>
            <w:tcW w:type="dxa" w:w="3024"/>
          </w:tcPr>
          <w:p>
            <w:pPr>
              <w:spacing w:after="40"/>
            </w:pPr>
            <w:r>
              <w:rPr>
                <w:rFonts w:ascii="Calibri" w:hAnsi="Calibri"/>
                <w:sz w:val="19"/>
              </w:rPr>
            </w:r>
            <w:r>
              <w:rPr>
                <w:rFonts w:ascii="Calibri" w:hAnsi="Calibri"/>
                <w:sz w:val="19"/>
              </w:rPr>
              <w:t>All columns</w:t>
            </w:r>
          </w:p>
        </w:tc>
        <w:tc>
          <w:tcPr>
            <w:tcW w:type="dxa" w:w="3024"/>
          </w:tcPr>
          <w:p>
            <w:pPr>
              <w:spacing w:after="40"/>
            </w:pPr>
            <w:r>
              <w:rPr>
                <w:rFonts w:ascii="Calibri" w:hAnsi="Calibri"/>
                <w:sz w:val="19"/>
              </w:rPr>
            </w:r>
            <w:r>
              <w:rPr>
                <w:rFonts w:ascii="Calibri" w:hAnsi="Calibri"/>
                <w:sz w:val="19"/>
              </w:rPr>
              <w:t>8 of 8</w:t>
            </w:r>
          </w:p>
        </w:tc>
      </w:tr>
      <w:tr>
        <w:tc>
          <w:tcPr>
            <w:tcW w:type="dxa" w:w="3024"/>
          </w:tcPr>
          <w:p>
            <w:pPr>
              <w:spacing w:after="40"/>
            </w:pPr>
            <w:r>
              <w:rPr>
                <w:rFonts w:ascii="Calibri" w:hAnsi="Calibri"/>
                <w:sz w:val="19"/>
              </w:rPr>
            </w:r>
            <w:r>
              <w:rPr>
                <w:rFonts w:ascii="Calibri" w:hAnsi="Calibri"/>
                <w:sz w:val="19"/>
              </w:rPr>
              <w:t>Missing values</w:t>
            </w:r>
          </w:p>
        </w:tc>
        <w:tc>
          <w:tcPr>
            <w:tcW w:type="dxa" w:w="3024"/>
          </w:tcPr>
          <w:p>
            <w:pPr>
              <w:spacing w:after="40"/>
            </w:pPr>
            <w:r>
              <w:rPr>
                <w:rFonts w:ascii="Calibri" w:hAnsi="Calibri"/>
                <w:sz w:val="19"/>
              </w:rPr>
            </w:r>
            <w:r>
              <w:rPr>
                <w:rFonts w:ascii="Calibri" w:hAnsi="Calibri"/>
                <w:sz w:val="19"/>
              </w:rPr>
              <w:t>Valor</w:t>
            </w:r>
          </w:p>
        </w:tc>
        <w:tc>
          <w:tcPr>
            <w:tcW w:type="dxa" w:w="3024"/>
          </w:tcPr>
          <w:p>
            <w:pPr>
              <w:spacing w:after="40"/>
            </w:pPr>
            <w:r>
              <w:rPr>
                <w:rFonts w:ascii="Calibri" w:hAnsi="Calibri"/>
                <w:sz w:val="19"/>
              </w:rPr>
            </w:r>
            <w:r>
              <w:rPr>
                <w:rFonts w:ascii="Calibri" w:hAnsi="Calibri"/>
                <w:sz w:val="19"/>
              </w:rPr>
              <w:t>~3%</w:t>
            </w:r>
          </w:p>
        </w:tc>
      </w:tr>
      <w:tr>
        <w:tc>
          <w:tcPr>
            <w:tcW w:type="dxa" w:w="3024"/>
          </w:tcPr>
          <w:p>
            <w:pPr>
              <w:spacing w:after="40"/>
            </w:pPr>
            <w:r>
              <w:rPr>
                <w:rFonts w:ascii="Calibri" w:hAnsi="Calibri"/>
                <w:sz w:val="19"/>
              </w:rPr>
            </w:r>
            <w:r>
              <w:rPr>
                <w:rFonts w:ascii="Calibri" w:hAnsi="Calibri"/>
                <w:sz w:val="19"/>
              </w:rPr>
              <w:t>Duplicate rows</w:t>
            </w:r>
          </w:p>
        </w:tc>
        <w:tc>
          <w:tcPr>
            <w:tcW w:type="dxa" w:w="3024"/>
          </w:tcPr>
          <w:p>
            <w:pPr>
              <w:spacing w:after="40"/>
            </w:pPr>
            <w:r>
              <w:rPr>
                <w:rFonts w:ascii="Calibri" w:hAnsi="Calibri"/>
                <w:sz w:val="19"/>
              </w:rPr>
            </w:r>
            <w:r>
              <w:rPr>
                <w:rFonts w:ascii="Calibri" w:hAnsi="Calibri"/>
                <w:sz w:val="19"/>
              </w:rPr>
              <w:t>All</w:t>
            </w:r>
          </w:p>
        </w:tc>
        <w:tc>
          <w:tcPr>
            <w:tcW w:type="dxa" w:w="3024"/>
          </w:tcPr>
          <w:p>
            <w:pPr>
              <w:spacing w:after="40"/>
            </w:pPr>
            <w:r>
              <w:rPr>
                <w:rFonts w:ascii="Calibri" w:hAnsi="Calibri"/>
                <w:sz w:val="19"/>
              </w:rPr>
            </w:r>
            <w:r>
              <w:rPr>
                <w:rFonts w:ascii="Calibri" w:hAnsi="Calibri"/>
                <w:sz w:val="19"/>
              </w:rPr>
              <w:t>Present</w:t>
            </w:r>
          </w:p>
        </w:tc>
      </w:tr>
    </w:tbl>
    <w:p/>
    <w:p>
      <w:r>
        <w:rPr>
          <w:b/>
        </w:rPr>
        <w:t>Solutions applied:</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pPr>
              <w:spacing w:after="40"/>
            </w:pPr>
            <w:r/>
            <w:r>
              <w:rPr>
                <w:rFonts w:ascii="Calibri" w:hAnsi="Calibri"/>
                <w:b/>
                <w:sz w:val="19"/>
              </w:rPr>
              <w:t>Issue</w:t>
            </w:r>
          </w:p>
        </w:tc>
        <w:tc>
          <w:tcPr>
            <w:tcW w:type="dxa" w:w="3024"/>
          </w:tcPr>
          <w:p>
            <w:pPr>
              <w:spacing w:after="40"/>
            </w:pPr>
            <w:r/>
            <w:r>
              <w:rPr>
                <w:rFonts w:ascii="Calibri" w:hAnsi="Calibri"/>
                <w:b/>
                <w:sz w:val="19"/>
              </w:rPr>
              <w:t>Solution</w:t>
            </w:r>
          </w:p>
        </w:tc>
        <w:tc>
          <w:tcPr>
            <w:tcW w:type="dxa" w:w="3024"/>
          </w:tcPr>
          <w:p>
            <w:pPr>
              <w:spacing w:after="40"/>
            </w:pPr>
            <w:r/>
            <w:r>
              <w:rPr>
                <w:rFonts w:ascii="Calibri" w:hAnsi="Calibri"/>
                <w:b/>
                <w:sz w:val="19"/>
              </w:rPr>
              <w:t>Impact</w:t>
            </w:r>
          </w:p>
        </w:tc>
      </w:tr>
      <w:tr>
        <w:tc>
          <w:tcPr>
            <w:tcW w:type="dxa" w:w="3024"/>
          </w:tcPr>
          <w:p>
            <w:pPr>
              <w:spacing w:after="40"/>
            </w:pPr>
            <w:r>
              <w:rPr>
                <w:rFonts w:ascii="Calibri" w:hAnsi="Calibri"/>
                <w:sz w:val="19"/>
              </w:rPr>
            </w:r>
            <w:r>
              <w:rPr>
                <w:rFonts w:ascii="Calibri" w:hAnsi="Calibri"/>
                <w:sz w:val="19"/>
              </w:rPr>
              <w:t>5 mixed date formats</w:t>
            </w:r>
          </w:p>
        </w:tc>
        <w:tc>
          <w:tcPr>
            <w:tcW w:type="dxa" w:w="3024"/>
          </w:tcPr>
          <w:p>
            <w:pPr>
              <w:spacing w:after="40"/>
            </w:pPr>
            <w:r>
              <w:rPr>
                <w:rFonts w:ascii="Calibri" w:hAnsi="Calibri"/>
                <w:sz w:val="19"/>
              </w:rPr>
            </w:r>
            <w:r>
              <w:rPr>
                <w:rFonts w:ascii="Calibri" w:hAnsi="Calibri"/>
                <w:sz w:val="19"/>
              </w:rPr>
              <w:t>Custom multi-format parser (ISO, dd/mm, yyyy/mm, textual, ms timestamp)</w:t>
            </w:r>
          </w:p>
        </w:tc>
        <w:tc>
          <w:tcPr>
            <w:tcW w:type="dxa" w:w="3024"/>
          </w:tcPr>
          <w:p>
            <w:pPr>
              <w:spacing w:after="40"/>
            </w:pPr>
            <w:r>
              <w:rPr>
                <w:rFonts w:ascii="Calibri" w:hAnsi="Calibri"/>
                <w:sz w:val="19"/>
              </w:rPr>
            </w:r>
            <w:r>
              <w:rPr>
                <w:rFonts w:ascii="Calibri" w:hAnsi="Calibri"/>
                <w:sz w:val="19"/>
              </w:rPr>
              <w:t>100% recovery</w:t>
            </w:r>
          </w:p>
        </w:tc>
      </w:tr>
      <w:tr>
        <w:tc>
          <w:tcPr>
            <w:tcW w:type="dxa" w:w="3024"/>
          </w:tcPr>
          <w:p>
            <w:pPr>
              <w:spacing w:after="40"/>
            </w:pPr>
            <w:r>
              <w:rPr>
                <w:rFonts w:ascii="Calibri" w:hAnsi="Calibri"/>
                <w:sz w:val="19"/>
              </w:rPr>
            </w:r>
            <w:r>
              <w:rPr>
                <w:rFonts w:ascii="Calibri" w:hAnsi="Calibri"/>
                <w:sz w:val="19"/>
              </w:rPr>
              <w:t>Comma decimal separators</w:t>
            </w:r>
          </w:p>
        </w:tc>
        <w:tc>
          <w:tcPr>
            <w:tcW w:type="dxa" w:w="3024"/>
          </w:tcPr>
          <w:p>
            <w:pPr>
              <w:spacing w:after="40"/>
            </w:pPr>
            <w:r>
              <w:rPr>
                <w:rFonts w:ascii="Calibri" w:hAnsi="Calibri"/>
                <w:sz w:val="19"/>
              </w:rPr>
            </w:r>
            <w:r>
              <w:rPr>
                <w:rFonts w:ascii="Calibri" w:hAnsi="Calibri"/>
                <w:sz w:val="19"/>
              </w:rPr>
              <w:t>str.replace(',', '.') + pd.to_numeric</w:t>
            </w:r>
          </w:p>
        </w:tc>
        <w:tc>
          <w:tcPr>
            <w:tcW w:type="dxa" w:w="3024"/>
          </w:tcPr>
          <w:p>
            <w:pPr>
              <w:spacing w:after="40"/>
            </w:pPr>
            <w:r>
              <w:rPr>
                <w:rFonts w:ascii="Calibri" w:hAnsi="Calibri"/>
                <w:sz w:val="19"/>
              </w:rPr>
            </w:r>
            <w:r>
              <w:rPr>
                <w:rFonts w:ascii="Calibri" w:hAnsi="Calibri"/>
                <w:sz w:val="19"/>
              </w:rPr>
              <w:t>100% recovery</w:t>
            </w:r>
          </w:p>
        </w:tc>
      </w:tr>
      <w:tr>
        <w:tc>
          <w:tcPr>
            <w:tcW w:type="dxa" w:w="3024"/>
          </w:tcPr>
          <w:p>
            <w:pPr>
              <w:spacing w:after="40"/>
            </w:pPr>
            <w:r>
              <w:rPr>
                <w:rFonts w:ascii="Calibri" w:hAnsi="Calibri"/>
                <w:sz w:val="19"/>
              </w:rPr>
            </w:r>
            <w:r>
              <w:rPr>
                <w:rFonts w:ascii="Calibri" w:hAnsi="Calibri"/>
                <w:sz w:val="19"/>
              </w:rPr>
              <w:t>Inconsistent casing</w:t>
            </w:r>
          </w:p>
        </w:tc>
        <w:tc>
          <w:tcPr>
            <w:tcW w:type="dxa" w:w="3024"/>
          </w:tcPr>
          <w:p>
            <w:pPr>
              <w:spacing w:after="40"/>
            </w:pPr>
            <w:r>
              <w:rPr>
                <w:rFonts w:ascii="Calibri" w:hAnsi="Calibri"/>
                <w:sz w:val="19"/>
              </w:rPr>
            </w:r>
            <w:r>
              <w:rPr>
                <w:rFonts w:ascii="Calibri" w:hAnsi="Calibri"/>
                <w:sz w:val="19"/>
              </w:rPr>
              <w:t>Lowercased for matching + canonical province map</w:t>
            </w:r>
          </w:p>
        </w:tc>
        <w:tc>
          <w:tcPr>
            <w:tcW w:type="dxa" w:w="3024"/>
          </w:tcPr>
          <w:p>
            <w:pPr>
              <w:spacing w:after="40"/>
            </w:pPr>
            <w:r>
              <w:rPr>
                <w:rFonts w:ascii="Calibri" w:hAnsi="Calibri"/>
                <w:sz w:val="19"/>
              </w:rPr>
            </w:r>
            <w:r>
              <w:rPr>
                <w:rFonts w:ascii="Calibri" w:hAnsi="Calibri"/>
                <w:sz w:val="19"/>
              </w:rPr>
              <w:t>All variants normalized</w:t>
            </w:r>
          </w:p>
        </w:tc>
      </w:tr>
      <w:tr>
        <w:tc>
          <w:tcPr>
            <w:tcW w:type="dxa" w:w="3024"/>
          </w:tcPr>
          <w:p>
            <w:pPr>
              <w:spacing w:after="40"/>
            </w:pPr>
            <w:r>
              <w:rPr>
                <w:rFonts w:ascii="Calibri" w:hAnsi="Calibri"/>
                <w:sz w:val="19"/>
              </w:rPr>
            </w:r>
            <w:r>
              <w:rPr>
                <w:rFonts w:ascii="Calibri" w:hAnsi="Calibri"/>
                <w:sz w:val="19"/>
              </w:rPr>
              <w:t>Extra whitespace</w:t>
            </w:r>
          </w:p>
        </w:tc>
        <w:tc>
          <w:tcPr>
            <w:tcW w:type="dxa" w:w="3024"/>
          </w:tcPr>
          <w:p>
            <w:pPr>
              <w:spacing w:after="40"/>
            </w:pPr>
            <w:r>
              <w:rPr>
                <w:rFonts w:ascii="Calibri" w:hAnsi="Calibri"/>
                <w:sz w:val="19"/>
              </w:rPr>
            </w:r>
            <w:r>
              <w:rPr>
                <w:rFonts w:ascii="Calibri" w:hAnsi="Calibri"/>
                <w:sz w:val="19"/>
              </w:rPr>
              <w:t>str.strip() before parsing</w:t>
            </w:r>
          </w:p>
        </w:tc>
        <w:tc>
          <w:tcPr>
            <w:tcW w:type="dxa" w:w="3024"/>
          </w:tcPr>
          <w:p>
            <w:pPr>
              <w:spacing w:after="40"/>
            </w:pPr>
            <w:r>
              <w:rPr>
                <w:rFonts w:ascii="Calibri" w:hAnsi="Calibri"/>
                <w:sz w:val="19"/>
              </w:rPr>
            </w:r>
            <w:r>
              <w:rPr>
                <w:rFonts w:ascii="Calibri" w:hAnsi="Calibri"/>
                <w:sz w:val="19"/>
              </w:rPr>
              <w:t>100% cleanup</w:t>
            </w:r>
          </w:p>
        </w:tc>
      </w:tr>
      <w:tr>
        <w:tc>
          <w:tcPr>
            <w:tcW w:type="dxa" w:w="3024"/>
          </w:tcPr>
          <w:p>
            <w:pPr>
              <w:spacing w:after="40"/>
            </w:pPr>
            <w:r>
              <w:rPr>
                <w:rFonts w:ascii="Calibri" w:hAnsi="Calibri"/>
                <w:sz w:val="19"/>
              </w:rPr>
            </w:r>
            <w:r>
              <w:rPr>
                <w:rFonts w:ascii="Calibri" w:hAnsi="Calibri"/>
                <w:sz w:val="19"/>
              </w:rPr>
              <w:t>Packed dimensions</w:t>
            </w:r>
          </w:p>
        </w:tc>
        <w:tc>
          <w:tcPr>
            <w:tcW w:type="dxa" w:w="3024"/>
          </w:tcPr>
          <w:p>
            <w:pPr>
              <w:spacing w:after="40"/>
            </w:pPr>
            <w:r>
              <w:rPr>
                <w:rFonts w:ascii="Calibri" w:hAnsi="Calibri"/>
                <w:sz w:val="19"/>
              </w:rPr>
            </w:r>
            <w:r>
              <w:rPr>
                <w:rFonts w:ascii="Calibri" w:hAnsi="Calibri"/>
                <w:sz w:val="19"/>
              </w:rPr>
              <w:t>Table-specific parsers extracting provincia, sexo, actividad</w:t>
            </w:r>
          </w:p>
        </w:tc>
        <w:tc>
          <w:tcPr>
            <w:tcW w:type="dxa" w:w="3024"/>
          </w:tcPr>
          <w:p>
            <w:pPr>
              <w:spacing w:after="40"/>
            </w:pPr>
            <w:r>
              <w:rPr>
                <w:rFonts w:ascii="Calibri" w:hAnsi="Calibri"/>
                <w:sz w:val="19"/>
              </w:rPr>
            </w:r>
            <w:r>
              <w:rPr>
                <w:rFonts w:ascii="Calibri" w:hAnsi="Calibri"/>
                <w:sz w:val="19"/>
              </w:rPr>
              <w:t>3 structured columns</w:t>
            </w:r>
          </w:p>
        </w:tc>
      </w:tr>
      <w:tr>
        <w:tc>
          <w:tcPr>
            <w:tcW w:type="dxa" w:w="3024"/>
          </w:tcPr>
          <w:p>
            <w:pPr>
              <w:spacing w:after="40"/>
            </w:pPr>
            <w:r>
              <w:rPr>
                <w:rFonts w:ascii="Calibri" w:hAnsi="Calibri"/>
                <w:sz w:val="19"/>
              </w:rPr>
            </w:r>
            <w:r>
              <w:rPr>
                <w:rFonts w:ascii="Calibri" w:hAnsi="Calibri"/>
                <w:sz w:val="19"/>
              </w:rPr>
              <w:t>Dirty column names</w:t>
            </w:r>
          </w:p>
        </w:tc>
        <w:tc>
          <w:tcPr>
            <w:tcW w:type="dxa" w:w="3024"/>
          </w:tcPr>
          <w:p>
            <w:pPr>
              <w:spacing w:after="40"/>
            </w:pPr>
            <w:r>
              <w:rPr>
                <w:rFonts w:ascii="Calibri" w:hAnsi="Calibri"/>
                <w:sz w:val="19"/>
              </w:rPr>
            </w:r>
            <w:r>
              <w:rPr>
                <w:rFonts w:ascii="Calibri" w:hAnsi="Calibri"/>
                <w:sz w:val="19"/>
              </w:rPr>
              <w:t>Strip + lowercase + underscore</w:t>
            </w:r>
          </w:p>
        </w:tc>
        <w:tc>
          <w:tcPr>
            <w:tcW w:type="dxa" w:w="3024"/>
          </w:tcPr>
          <w:p>
            <w:pPr>
              <w:spacing w:after="40"/>
            </w:pPr>
            <w:r>
              <w:rPr>
                <w:rFonts w:ascii="Calibri" w:hAnsi="Calibri"/>
                <w:sz w:val="19"/>
              </w:rPr>
            </w:r>
            <w:r>
              <w:rPr>
                <w:rFonts w:ascii="Calibri" w:hAnsi="Calibri"/>
                <w:sz w:val="19"/>
              </w:rPr>
              <w:t>All standardized</w:t>
            </w:r>
          </w:p>
        </w:tc>
      </w:tr>
      <w:tr>
        <w:tc>
          <w:tcPr>
            <w:tcW w:type="dxa" w:w="3024"/>
          </w:tcPr>
          <w:p>
            <w:pPr>
              <w:spacing w:after="40"/>
            </w:pPr>
            <w:r>
              <w:rPr>
                <w:rFonts w:ascii="Calibri" w:hAnsi="Calibri"/>
                <w:sz w:val="19"/>
              </w:rPr>
            </w:r>
            <w:r>
              <w:rPr>
                <w:rFonts w:ascii="Calibri" w:hAnsi="Calibri"/>
                <w:sz w:val="19"/>
              </w:rPr>
              <w:t>Duplicate rows</w:t>
            </w:r>
          </w:p>
        </w:tc>
        <w:tc>
          <w:tcPr>
            <w:tcW w:type="dxa" w:w="3024"/>
          </w:tcPr>
          <w:p>
            <w:pPr>
              <w:spacing w:after="40"/>
            </w:pPr>
            <w:r>
              <w:rPr>
                <w:rFonts w:ascii="Calibri" w:hAnsi="Calibri"/>
                <w:sz w:val="19"/>
              </w:rPr>
            </w:r>
            <w:r>
              <w:rPr>
                <w:rFonts w:ascii="Calibri" w:hAnsi="Calibri"/>
                <w:sz w:val="19"/>
              </w:rPr>
              <w:t>drop_duplicates on composite key</w:t>
            </w:r>
          </w:p>
        </w:tc>
        <w:tc>
          <w:tcPr>
            <w:tcW w:type="dxa" w:w="3024"/>
          </w:tcPr>
          <w:p>
            <w:pPr>
              <w:spacing w:after="40"/>
            </w:pPr>
            <w:r>
              <w:rPr>
                <w:rFonts w:ascii="Calibri" w:hAnsi="Calibri"/>
                <w:sz w:val="19"/>
              </w:rPr>
            </w:r>
            <w:r>
              <w:rPr>
                <w:rFonts w:ascii="Calibri" w:hAnsi="Calibri"/>
                <w:sz w:val="19"/>
              </w:rPr>
              <w:t>Removed without data loss</w:t>
            </w:r>
          </w:p>
        </w:tc>
      </w:tr>
      <w:tr>
        <w:tc>
          <w:tcPr>
            <w:tcW w:type="dxa" w:w="3024"/>
          </w:tcPr>
          <w:p>
            <w:pPr>
              <w:spacing w:after="40"/>
            </w:pPr>
            <w:r>
              <w:rPr>
                <w:rFonts w:ascii="Calibri" w:hAnsi="Calibri"/>
                <w:sz w:val="19"/>
              </w:rPr>
            </w:r>
            <w:r>
              <w:rPr>
                <w:rFonts w:ascii="Calibri" w:hAnsi="Calibri"/>
                <w:sz w:val="19"/>
              </w:rPr>
              <w:t>~3% null values</w:t>
            </w:r>
          </w:p>
        </w:tc>
        <w:tc>
          <w:tcPr>
            <w:tcW w:type="dxa" w:w="3024"/>
          </w:tcPr>
          <w:p>
            <w:pPr>
              <w:spacing w:after="40"/>
            </w:pPr>
            <w:r>
              <w:rPr>
                <w:rFonts w:ascii="Calibri" w:hAnsi="Calibri"/>
                <w:sz w:val="19"/>
              </w:rPr>
            </w:r>
            <w:r>
              <w:rPr>
                <w:rFonts w:ascii="Calibri" w:hAnsi="Calibri"/>
                <w:sz w:val="19"/>
              </w:rPr>
              <w:t>Kept as NaN (not imputed)</w:t>
            </w:r>
          </w:p>
        </w:tc>
        <w:tc>
          <w:tcPr>
            <w:tcW w:type="dxa" w:w="3024"/>
          </w:tcPr>
          <w:p>
            <w:pPr>
              <w:spacing w:after="40"/>
            </w:pPr>
            <w:r>
              <w:rPr>
                <w:rFonts w:ascii="Calibri" w:hAnsi="Calibri"/>
                <w:sz w:val="19"/>
              </w:rPr>
            </w:r>
            <w:r>
              <w:rPr>
                <w:rFonts w:ascii="Calibri" w:hAnsi="Calibri"/>
                <w:sz w:val="19"/>
              </w:rPr>
              <w:t>Preserves data integrity</w:t>
            </w:r>
          </w:p>
        </w:tc>
      </w:tr>
    </w:tbl>
    <w:p/>
    <w:p>
      <w:r>
        <w:t xml:space="preserve">The cleaning pipeline is fully deterministic and reproducible — running </w:t>
      </w:r>
      <w:r>
        <w:rPr>
          <w:rFonts w:ascii="Consolas" w:hAnsi="Consolas"/>
          <w:color w:val="800000"/>
          <w:sz w:val="19"/>
        </w:rPr>
        <w:t>main.py</w:t>
      </w:r>
      <w:r>
        <w:t xml:space="preserve"> regenerates the clean dataset from the raw CSV with identical results.</w:t>
      </w:r>
    </w:p>
    <w:p>
      <w:pPr>
        <w:pStyle w:val="Heading2"/>
      </w:pPr>
      <w:r>
        <w:t>10. Conclusions</w:t>
      </w:r>
    </w:p>
    <w:p>
      <w:pPr>
        <w:pStyle w:val="ListNumber"/>
      </w:pPr>
      <w:r>
        <w:rPr>
          <w:b/>
        </w:rPr>
        <w:t>Spain's unemployment geography is structural and persistent.</w:t>
      </w:r>
      <w:r>
        <w:t xml:space="preserve"> The north–south divide has barely changed in 24 years, surviving a housing bubble, a financial crisis, a pandemic, and a record employment recovery. This is the strongest finding in the entire analysis.</w:t>
      </w:r>
    </w:p>
    <w:p>
      <w:pPr>
        <w:pStyle w:val="ListNumber"/>
      </w:pPr>
      <w:r>
        <w:rPr>
          <w:b/>
        </w:rPr>
        <w:t>The full economic cycle reveals the Spanish labour market's extraordinary volatility.</w:t>
      </w:r>
      <w:r>
        <w:t xml:space="preserve"> Unemployment swung from 7.93% (Q1 2007) to 26.06% (Q1 2013) to 9.93% (Q3 2025) — a range of 18 percentage points in less than two decades.</w:t>
      </w:r>
    </w:p>
    <w:p>
      <w:pPr>
        <w:pStyle w:val="ListNumber"/>
      </w:pPr>
      <w:r>
        <w:rPr>
          <w:b/>
        </w:rPr>
        <w:t>The construction sector's boom and bust is the most dramatic sectoral story.</w:t>
      </w:r>
      <w:r>
        <w:t xml:space="preserve"> Construction employment collapsed by 62.7% between 2007 and 2013 and has only partially recovered to 1.5 million by 2025.</w:t>
      </w:r>
    </w:p>
    <w:p>
      <w:pPr>
        <w:pStyle w:val="ListNumber"/>
      </w:pPr>
      <w:r>
        <w:rPr>
          <w:b/>
        </w:rPr>
        <w:t>The gender gap in unemployment is real but narrowing.</w:t>
      </w:r>
      <w:r>
        <w:t xml:space="preserve"> By 2025, the gap stands at ~2–3 percentage points — the smallest sustained level in the entire 24-year series.</w:t>
      </w:r>
    </w:p>
    <w:p>
      <w:pPr>
        <w:pStyle w:val="ListNumber"/>
      </w:pPr>
      <w:r>
        <w:rPr>
          <w:b/>
        </w:rPr>
        <w:t>Spain's economy is extremely and increasingly tertiarized,</w:t>
      </w:r>
      <w:r>
        <w:t xml:space="preserve"> with services growing from approximately 66% of total employment in 2007 to over 76% by 2025.</w:t>
      </w:r>
    </w:p>
    <w:p>
      <w:pPr>
        <w:pStyle w:val="ListNumber"/>
      </w:pPr>
      <w:r>
        <w:rPr>
          <w:b/>
        </w:rPr>
        <w:t>Employment has reached all-time highs.</w:t>
      </w:r>
      <w:r>
        <w:t xml:space="preserve"> Total employment exceeded 22 million by 2025, surpassing the 2007 pre-crisis peak by approximately 1.7 million. The unemployment rate broke below 10% in Q3 2025 for the first time since the pre-2008 era.</w:t>
      </w:r>
    </w:p>
    <w:p>
      <w:pPr>
        <w:pStyle w:val="ListNumber"/>
      </w:pPr>
      <w:r>
        <w:rPr>
          <w:b/>
        </w:rPr>
        <w:t>Age is the strongest predictor of unemployment in Spain.</w:t>
      </w:r>
      <w:r>
        <w:t xml:space="preserve"> The youngest workers (16–19) have averaged approximately 42% unemployment over the 24-year period, peaking at 74% during the 2013 crisis.</w:t>
      </w:r>
    </w:p>
    <w:p>
      <w:pPr>
        <w:pStyle w:val="ListNumber"/>
      </w:pPr>
      <w:r>
        <w:rPr>
          <w:b/>
        </w:rPr>
        <w:t>Youth unemployment has improved dramatically from crisis peaks but remains structurally extreme.</w:t>
      </w:r>
      <w:r>
        <w:t xml:space="preserve"> The 16–19 group fell from ~74% (2013) to ~37% (2025) and the 20–24 group from ~52% to ~22%, yet both still far exceed the national average.</w:t>
      </w:r>
    </w:p>
    <w:p>
      <w:pPr>
        <w:pStyle w:val="ListNumber"/>
      </w:pPr>
      <w:r>
        <w:rPr>
          <w:b/>
        </w:rPr>
        <w:t>The nationality gap in unemployment is structural and age-dependent.</w:t>
      </w:r>
      <w:r>
        <w:t xml:space="preserve"> Foreign workers face higher unemployment rates across all age groups, with the relative gap widening in middle and older ages.</w:t>
      </w:r>
    </w:p>
    <w:p>
      <w:pPr>
        <w:pStyle w:val="ListNumber"/>
      </w:pPr>
      <w:r>
        <w:rPr>
          <w:b/>
        </w:rPr>
        <w:t>Data quality matters: even official INE data requires significant cleaning</w:t>
      </w:r>
      <w:r>
        <w:t xml:space="preserve"> when accessed via API. This project dealt with 5 date formats, packed series names, inconsistent casing, and structural parsing.</w:t>
      </w:r>
    </w:p>
    <w:p>
      <w:pPr>
        <w:pStyle w:val="Heading2"/>
      </w:pPr>
      <w:r>
        <w:t>11. Design Rationale</w:t>
      </w:r>
    </w:p>
    <w:p>
      <w:pPr>
        <w:pStyle w:val="Heading3"/>
      </w:pPr>
      <w:r>
        <w:t>Dirty-first loading</w:t>
      </w:r>
    </w:p>
    <w:p>
      <w:r>
        <w:t>Loading the deliberately corrupted file before cleaning is a deliberate pedagogical choice: it makes the rationale for every cleaning step concrete and auditable. Intentional dirt is injected deterministically (seed=42).</w:t>
      </w:r>
    </w:p>
    <w:p>
      <w:pPr>
        <w:pStyle w:val="Heading3"/>
      </w:pPr>
      <w:r>
        <w:t>Table-specific parsing of serie_nombre</w:t>
      </w:r>
    </w:p>
    <w:p>
      <w:r>
        <w:t>INE encodes all analytical dimensions inside a single free-text string whose format differs by table. Three dedicated parsers are more verbose but far more reliable.</w:t>
      </w:r>
    </w:p>
    <w:p>
      <w:pPr>
        <w:pStyle w:val="Heading3"/>
      </w:pPr>
      <w:r>
        <w:t>Separating cleaning from feature engineering</w:t>
      </w:r>
    </w:p>
    <w:p>
      <w:r>
        <w:t>cleaning.py corrects errors in what was recorded; features.py adds business meaning. The boundary is enforced by saving the clean CSV between phases.</w:t>
      </w:r>
    </w:p>
    <w:p>
      <w:pPr>
        <w:pStyle w:val="Heading3"/>
      </w:pPr>
      <w:r>
        <w:t>Dynamic period labelling</w:t>
      </w:r>
    </w:p>
    <w:p>
      <w:r>
        <w:t>By deriving PERIOD_START / PERIOD_END from the data rather than hardcoding them, the notebook remains valid for any EPA extract.</w:t>
      </w:r>
    </w:p>
    <w:p>
      <w:pPr>
        <w:pStyle w:val="Heading3"/>
      </w:pPr>
      <w:r>
        <w:t>Computed unemployment rate for Chart 9</w:t>
      </w:r>
    </w:p>
    <w:p>
      <w:r>
        <w:t>INE does not publish a cross-tabulation of unemployment by both age and nationality. Merging activos and ocupados tables extracts an insight validated against official table 65336.</w:t>
      </w:r>
    </w:p>
    <w:p>
      <w:pPr>
        <w:pStyle w:val="Heading3"/>
      </w:pPr>
      <w:r>
        <w:t>Validation before analysis</w:t>
      </w:r>
    </w:p>
    <w:p>
      <w:r>
        <w:t>validate_clean() acts as a hard gate: if the data does not meet structural guarantees, the pipeline fails loudly.</w:t>
      </w:r>
    </w:p>
    <w:p>
      <w:pPr>
        <w:pStyle w:val="Heading3"/>
      </w:pPr>
      <w:r>
        <w:t>Nine charts, not one dashboard</w:t>
      </w:r>
    </w:p>
    <w:p>
      <w:r>
        <w:t>Each chart is saved as an independent PNG answering a specific research question, making it straightforward to embed in reports or presentations.</w:t>
      </w:r>
    </w:p>
    <w:p>
      <w:pPr>
        <w:pStyle w:val="Heading2"/>
      </w:pPr>
      <w:r>
        <w:t>12. Project Structure and Reproducibility</w:t>
      </w:r>
    </w:p>
    <w:p>
      <w:r>
        <w:t>The entire pipeline — from data acquisition through cleaning, feature engineering, and chart generation — is designed to work with any time period available in the EPA dataset (quarterly data from 2002 onwards). No code changes are required to switch periods.</w:t>
      </w:r>
    </w:p>
    <w:p>
      <w:pPr>
        <w:pStyle w:val="Heading3"/>
      </w:pPr>
      <w:r>
        <w:t>Quick start</w:t>
      </w:r>
    </w:p>
    <w:p>
      <w:pPr>
        <w:spacing w:before="120" w:after="120"/>
      </w:pPr>
      <w:r>
        <w:rPr>
          <w:rFonts w:ascii="Consolas" w:hAnsi="Consolas"/>
          <w:color w:val="333333"/>
          <w:sz w:val="18"/>
        </w:rPr>
        <w:t>git clone https://github.com/danribes/epa_project.git</w:t>
        <w:br/>
        <w:t>cd epa_project/</w:t>
        <w:br/>
        <w:t>python3 -m venv .venv &amp;&amp; source .venv/bin/activate</w:t>
        <w:br/>
        <w:t>pip install -r requirements.txt</w:t>
        <w:br/>
        <w:t>python main.py --fetch --start 2002 --end 2025</w:t>
      </w:r>
    </w:p>
    <w:p>
      <w:pPr>
        <w:pStyle w:val="Heading3"/>
      </w:pPr>
      <w:r>
        <w:t>Period-adaptive design</w:t>
      </w:r>
    </w:p>
    <w:tbl>
      <w:tblPr>
        <w:tblStyle w:val="LightGrid-Accent1"/>
        <w:tblW w:type="auto" w:w="0"/>
        <w:jc w:val="center"/>
        <w:tblLook w:firstColumn="1" w:firstRow="1" w:lastColumn="0" w:lastRow="0" w:noHBand="0" w:noVBand="1" w:val="04A0"/>
      </w:tblPr>
      <w:tblGrid>
        <w:gridCol w:w="4536"/>
        <w:gridCol w:w="4536"/>
      </w:tblGrid>
      <w:tr>
        <w:tc>
          <w:tcPr>
            <w:tcW w:type="dxa" w:w="4536"/>
          </w:tcPr>
          <w:p>
            <w:pPr>
              <w:spacing w:after="40"/>
            </w:pPr>
            <w:r/>
            <w:r>
              <w:rPr>
                <w:rFonts w:ascii="Calibri" w:hAnsi="Calibri"/>
                <w:b/>
                <w:sz w:val="19"/>
              </w:rPr>
              <w:t>Component</w:t>
            </w:r>
          </w:p>
        </w:tc>
        <w:tc>
          <w:tcPr>
            <w:tcW w:type="dxa" w:w="4536"/>
          </w:tcPr>
          <w:p>
            <w:pPr>
              <w:spacing w:after="40"/>
            </w:pPr>
            <w:r/>
            <w:r>
              <w:rPr>
                <w:rFonts w:ascii="Calibri" w:hAnsi="Calibri"/>
                <w:b/>
                <w:sz w:val="19"/>
              </w:rPr>
              <w:t>Adaptation mechanism</w:t>
            </w:r>
          </w:p>
        </w:tc>
      </w:tr>
      <w:tr>
        <w:tc>
          <w:tcPr>
            <w:tcW w:type="dxa" w:w="4536"/>
          </w:tcPr>
          <w:p>
            <w:pPr>
              <w:spacing w:after="40"/>
            </w:pPr>
            <w:r>
              <w:rPr>
                <w:rFonts w:ascii="Calibri" w:hAnsi="Calibri"/>
                <w:sz w:val="19"/>
              </w:rPr>
            </w:r>
            <w:r>
              <w:rPr>
                <w:rFonts w:ascii="Calibri" w:hAnsi="Calibri"/>
                <w:sz w:val="19"/>
              </w:rPr>
              <w:t>fetch_data.py</w:t>
            </w:r>
          </w:p>
        </w:tc>
        <w:tc>
          <w:tcPr>
            <w:tcW w:type="dxa" w:w="4536"/>
          </w:tcPr>
          <w:p>
            <w:pPr>
              <w:spacing w:after="40"/>
            </w:pPr>
            <w:r>
              <w:rPr>
                <w:rFonts w:ascii="Calibri" w:hAnsi="Calibri"/>
                <w:sz w:val="19"/>
              </w:rPr>
            </w:r>
            <w:r>
              <w:rPr>
                <w:rFonts w:ascii="Calibri" w:hAnsi="Calibri"/>
                <w:sz w:val="19"/>
              </w:rPr>
              <w:t>--start / --end parameters define the download range</w:t>
            </w:r>
          </w:p>
        </w:tc>
      </w:tr>
      <w:tr>
        <w:tc>
          <w:tcPr>
            <w:tcW w:type="dxa" w:w="4536"/>
          </w:tcPr>
          <w:p>
            <w:pPr>
              <w:spacing w:after="40"/>
            </w:pPr>
            <w:r>
              <w:rPr>
                <w:rFonts w:ascii="Calibri" w:hAnsi="Calibri"/>
                <w:sz w:val="19"/>
              </w:rPr>
            </w:r>
            <w:r>
              <w:rPr>
                <w:rFonts w:ascii="Calibri" w:hAnsi="Calibri"/>
                <w:sz w:val="19"/>
              </w:rPr>
              <w:t>src/cleaning.py</w:t>
            </w:r>
          </w:p>
        </w:tc>
        <w:tc>
          <w:tcPr>
            <w:tcW w:type="dxa" w:w="4536"/>
          </w:tcPr>
          <w:p>
            <w:pPr>
              <w:spacing w:after="40"/>
            </w:pPr>
            <w:r>
              <w:rPr>
                <w:rFonts w:ascii="Calibri" w:hAnsi="Calibri"/>
                <w:sz w:val="19"/>
              </w:rPr>
            </w:r>
            <w:r>
              <w:rPr>
                <w:rFonts w:ascii="Calibri" w:hAnsi="Calibri"/>
                <w:sz w:val="19"/>
              </w:rPr>
              <w:t>Date and dimension parsing with no reference to specific years</w:t>
            </w:r>
          </w:p>
        </w:tc>
      </w:tr>
      <w:tr>
        <w:tc>
          <w:tcPr>
            <w:tcW w:type="dxa" w:w="4536"/>
          </w:tcPr>
          <w:p>
            <w:pPr>
              <w:spacing w:after="40"/>
            </w:pPr>
            <w:r>
              <w:rPr>
                <w:rFonts w:ascii="Calibri" w:hAnsi="Calibri"/>
                <w:sz w:val="19"/>
              </w:rPr>
            </w:r>
            <w:r>
              <w:rPr>
                <w:rFonts w:ascii="Calibri" w:hAnsi="Calibri"/>
                <w:sz w:val="19"/>
              </w:rPr>
              <w:t>src/features.py</w:t>
            </w:r>
          </w:p>
        </w:tc>
        <w:tc>
          <w:tcPr>
            <w:tcW w:type="dxa" w:w="4536"/>
          </w:tcPr>
          <w:p>
            <w:pPr>
              <w:spacing w:after="40"/>
            </w:pPr>
            <w:r>
              <w:rPr>
                <w:rFonts w:ascii="Calibri" w:hAnsi="Calibri"/>
                <w:sz w:val="19"/>
              </w:rPr>
            </w:r>
            <w:r>
              <w:rPr>
                <w:rFonts w:ascii="Calibri" w:hAnsi="Calibri"/>
                <w:sz w:val="19"/>
              </w:rPr>
              <w:t>Generic temporal feature engineering (quarter, month, year)</w:t>
            </w:r>
          </w:p>
        </w:tc>
      </w:tr>
      <w:tr>
        <w:tc>
          <w:tcPr>
            <w:tcW w:type="dxa" w:w="4536"/>
          </w:tcPr>
          <w:p>
            <w:pPr>
              <w:spacing w:after="40"/>
            </w:pPr>
            <w:r>
              <w:rPr>
                <w:rFonts w:ascii="Calibri" w:hAnsi="Calibri"/>
                <w:sz w:val="19"/>
              </w:rPr>
            </w:r>
            <w:r>
              <w:rPr>
                <w:rFonts w:ascii="Calibri" w:hAnsi="Calibri"/>
                <w:sz w:val="19"/>
              </w:rPr>
              <w:t>src/viz.py</w:t>
            </w:r>
          </w:p>
        </w:tc>
        <w:tc>
          <w:tcPr>
            <w:tcW w:type="dxa" w:w="4536"/>
          </w:tcPr>
          <w:p>
            <w:pPr>
              <w:spacing w:after="40"/>
            </w:pPr>
            <w:r>
              <w:rPr>
                <w:rFonts w:ascii="Calibri" w:hAnsi="Calibri"/>
                <w:sz w:val="19"/>
              </w:rPr>
            </w:r>
            <w:r>
              <w:rPr>
                <w:rFonts w:ascii="Calibri" w:hAnsi="Calibri"/>
                <w:sz w:val="19"/>
              </w:rPr>
              <w:t>Generates all 9 charts with period-aware titles derived from the data</w:t>
            </w:r>
          </w:p>
        </w:tc>
      </w:tr>
      <w:tr>
        <w:tc>
          <w:tcPr>
            <w:tcW w:type="dxa" w:w="4536"/>
          </w:tcPr>
          <w:p>
            <w:pPr>
              <w:spacing w:after="40"/>
            </w:pPr>
            <w:r>
              <w:rPr>
                <w:rFonts w:ascii="Calibri" w:hAnsi="Calibri"/>
                <w:sz w:val="19"/>
              </w:rPr>
            </w:r>
            <w:r>
              <w:rPr>
                <w:rFonts w:ascii="Calibri" w:hAnsi="Calibri"/>
                <w:sz w:val="19"/>
              </w:rPr>
              <w:t>main.py</w:t>
            </w:r>
          </w:p>
        </w:tc>
        <w:tc>
          <w:tcPr>
            <w:tcW w:type="dxa" w:w="4536"/>
          </w:tcPr>
          <w:p>
            <w:pPr>
              <w:spacing w:after="40"/>
            </w:pPr>
            <w:r>
              <w:rPr>
                <w:rFonts w:ascii="Calibri" w:hAnsi="Calibri"/>
                <w:sz w:val="19"/>
              </w:rPr>
            </w:r>
            <w:r>
              <w:rPr>
                <w:rFonts w:ascii="Calibri" w:hAnsi="Calibri"/>
                <w:sz w:val="19"/>
              </w:rPr>
              <w:t>Orchestrates the full pipeline in a single command</w:t>
            </w:r>
          </w:p>
        </w:tc>
      </w:tr>
      <w:tr>
        <w:tc>
          <w:tcPr>
            <w:tcW w:type="dxa" w:w="4536"/>
          </w:tcPr>
          <w:p>
            <w:pPr>
              <w:spacing w:after="40"/>
            </w:pPr>
            <w:r>
              <w:rPr>
                <w:rFonts w:ascii="Calibri" w:hAnsi="Calibri"/>
                <w:sz w:val="19"/>
              </w:rPr>
            </w:r>
            <w:r>
              <w:rPr>
                <w:rFonts w:ascii="Calibri" w:hAnsi="Calibri"/>
                <w:sz w:val="19"/>
              </w:rPr>
              <w:t>notebooks/eda.ipynb</w:t>
            </w:r>
          </w:p>
        </w:tc>
        <w:tc>
          <w:tcPr>
            <w:tcW w:type="dxa" w:w="4536"/>
          </w:tcPr>
          <w:p>
            <w:pPr>
              <w:spacing w:after="40"/>
            </w:pPr>
            <w:r>
              <w:rPr>
                <w:rFonts w:ascii="Calibri" w:hAnsi="Calibri"/>
                <w:sz w:val="19"/>
              </w:rPr>
            </w:r>
            <w:r>
              <w:rPr>
                <w:rFonts w:ascii="Calibri" w:hAnsi="Calibri"/>
                <w:sz w:val="19"/>
              </w:rPr>
              <w:t>Derives PERIOD_LABEL from the data; all chart titles adapt automatically</w:t>
            </w:r>
          </w:p>
        </w:tc>
      </w:tr>
    </w:tbl>
    <w:p/>
    <w:p>
      <w:pPr>
        <w:pStyle w:val="Heading2"/>
      </w:pPr>
      <w:r>
        <w:t>13. Dependencies</w:t>
      </w:r>
    </w:p>
    <w:p>
      <w:pPr>
        <w:spacing w:before="120" w:after="120"/>
      </w:pPr>
      <w:r>
        <w:rPr>
          <w:rFonts w:ascii="Consolas" w:hAnsi="Consolas"/>
          <w:color w:val="333333"/>
          <w:sz w:val="18"/>
        </w:rPr>
        <w:t>pandas</w:t>
        <w:br/>
        <w:t>numpy</w:t>
        <w:br/>
        <w:t>matplotlib</w:t>
        <w:br/>
        <w:t>seaborn</w:t>
        <w:br/>
        <w:t>requests        # INE API calls</w:t>
        <w:br/>
        <w:t>python-docx     # Word report generation</w:t>
        <w:br/>
        <w:t>openpyxl        # (optional, for Excel export)</w:t>
        <w:br/>
        <w:t>jupyter         # For interactive notebook use</w:t>
      </w:r>
    </w:p>
    <w:p>
      <w:r>
        <w:t xml:space="preserve">Install with: </w:t>
      </w:r>
      <w:r>
        <w:rPr>
          <w:rFonts w:ascii="Consolas" w:hAnsi="Consolas"/>
          <w:color w:val="800000"/>
          <w:sz w:val="19"/>
        </w:rPr>
        <w:t>pip install -r requirements.txt</w:t>
      </w:r>
    </w:p>
    <w:p>
      <w:r>
        <w:br w:type="page"/>
      </w:r>
    </w:p>
    <w:p/>
    <w:p/>
    <w:p/>
    <w:p/>
    <w:p/>
    <w:p/>
    <w:p>
      <w:pPr>
        <w:jc w:val="center"/>
      </w:pPr>
      <w:r>
        <w:rPr>
          <w:i/>
          <w:color w:val="666666"/>
          <w:sz w:val="20"/>
        </w:rPr>
        <w:t>Report compiled from the full 2002–2025 EPA dataset</w:t>
      </w:r>
    </w:p>
    <w:p>
      <w:pPr>
        <w:jc w:val="center"/>
      </w:pPr>
      <w:r>
        <w:rPr>
          <w:i/>
          <w:color w:val="666666"/>
          <w:sz w:val="20"/>
        </w:rPr>
        <w:t>156,456 observations across 96 quarters</w:t>
      </w:r>
    </w:p>
    <w:p>
      <w:pPr>
        <w:jc w:val="center"/>
      </w:pPr>
      <w:r>
        <w:rPr>
          <w:i/>
          <w:color w:val="666666"/>
          <w:sz w:val="20"/>
        </w:rPr>
        <w:t>Source: Instituto Nacional de Estadística (INE) — Encuesta de Población Activa</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3C6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A3C6E"/>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3C6E"/>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A3C6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