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Spanish Labour Market Analysis (EPA)</w:t>
      </w:r>
    </w:p>
    <w:p/>
    <w:p>
      <w:pPr>
        <w:jc w:val="center"/>
      </w:pPr>
      <w:r>
        <w:rPr>
          <w:color w:val="444444"/>
          <w:sz w:val="28"/>
        </w:rPr>
        <w:t>Exploratory Data Analysis of the Spanish Labour Market</w:t>
        <w:br/>
        <w:t>using open data from the Instituto Nacional de Estadística (INE)</w:t>
      </w:r>
    </w:p>
    <w:p/>
    <w:p>
      <w:pPr>
        <w:jc w:val="center"/>
      </w:pPr>
      <w:r>
        <w:rPr>
          <w:color w:val="666666"/>
          <w:sz w:val="26"/>
        </w:rPr>
        <w:t>Period: 2002–2025 (96 quarters)</w:t>
      </w:r>
    </w:p>
    <w:p/>
    <w:p/>
    <w:p>
      <w:pPr>
        <w:jc w:val="center"/>
      </w:pPr>
      <w:r>
        <w:rPr>
          <w:color w:val="888888"/>
          <w:sz w:val="22"/>
        </w:rPr>
        <w:t>Source: Instituto Nacional de Estadística (INE)</w:t>
      </w:r>
    </w:p>
    <w:p>
      <w:pPr>
        <w:jc w:val="center"/>
      </w:pPr>
      <w:r>
        <w:rPr>
          <w:color w:val="888888"/>
          <w:sz w:val="22"/>
        </w:rPr>
        <w:t>Encuesta de Población Activa (EPA)</w:t>
      </w:r>
    </w:p>
    <w:p>
      <w:r>
        <w:br w:type="page"/>
      </w:r>
    </w:p>
    <w:p>
      <w:pPr>
        <w:pStyle w:val="Heading1"/>
      </w:pPr>
      <w:r>
        <w:t>Table of Contents</w:t>
      </w:r>
    </w:p>
    <w:p>
      <w:pPr>
        <w:spacing w:before="40" w:after="40"/>
        <w:ind w:left="432"/>
      </w:pPr>
      <w:r>
        <w:t>1. Objective</w:t>
      </w:r>
    </w:p>
    <w:p>
      <w:pPr>
        <w:spacing w:before="40" w:after="40"/>
        <w:ind w:left="432"/>
      </w:pPr>
      <w:r>
        <w:t>2. Dataset</w:t>
      </w:r>
    </w:p>
    <w:p>
      <w:pPr>
        <w:spacing w:before="40" w:after="40"/>
        <w:ind w:left="432"/>
      </w:pPr>
      <w:r>
        <w:t>3. Research Questions</w:t>
      </w:r>
    </w:p>
    <w:p>
      <w:pPr>
        <w:spacing w:before="40" w:after="40"/>
        <w:ind w:left="432"/>
      </w:pPr>
      <w:r>
        <w:t>4. Methodology</w:t>
      </w:r>
    </w:p>
    <w:p>
      <w:pPr>
        <w:spacing w:before="40" w:after="40"/>
        <w:ind w:left="432"/>
      </w:pPr>
      <w:r>
        <w:t>5. Results</w:t>
      </w:r>
    </w:p>
    <w:p>
      <w:pPr>
        <w:spacing w:before="40" w:after="40"/>
        <w:ind w:left="432"/>
      </w:pPr>
      <w:r>
        <w:t>6. Key Findings Summary</w:t>
      </w:r>
    </w:p>
    <w:p>
      <w:pPr>
        <w:spacing w:before="40" w:after="40"/>
        <w:ind w:left="432"/>
      </w:pPr>
      <w:r>
        <w:t>7. Additional Findings</w:t>
      </w:r>
    </w:p>
    <w:p>
      <w:pPr>
        <w:spacing w:before="40" w:after="40"/>
        <w:ind w:left="432"/>
      </w:pPr>
      <w:r>
        <w:t>8. Data Quality Report</w:t>
      </w:r>
    </w:p>
    <w:p>
      <w:pPr>
        <w:spacing w:before="40" w:after="40"/>
        <w:ind w:left="432"/>
      </w:pPr>
      <w:r>
        <w:t>9. Conclusions</w:t>
      </w:r>
    </w:p>
    <w:p>
      <w:pPr>
        <w:spacing w:before="40" w:after="40"/>
        <w:ind w:left="432"/>
      </w:pPr>
      <w:r>
        <w:t>10. Design Rationale</w:t>
      </w:r>
    </w:p>
    <w:p>
      <w:pPr>
        <w:spacing w:before="40" w:after="40"/>
        <w:ind w:left="432"/>
      </w:pPr>
      <w:r>
        <w:t>11. Project Structure</w:t>
      </w:r>
    </w:p>
    <w:p>
      <w:pPr>
        <w:spacing w:before="40" w:after="40"/>
        <w:ind w:left="432"/>
      </w:pPr>
      <w:r>
        <w:t>12. How to Run</w:t>
      </w:r>
    </w:p>
    <w:p>
      <w:pPr>
        <w:spacing w:before="40" w:after="40"/>
        <w:ind w:left="432"/>
      </w:pPr>
      <w:r>
        <w:t>13. Reproducing with a Different Period</w:t>
      </w:r>
    </w:p>
    <w:p>
      <w:pPr>
        <w:spacing w:before="40" w:after="40"/>
        <w:ind w:left="432"/>
      </w:pPr>
      <w:r>
        <w:t>14. Dependencies</w:t>
      </w:r>
    </w:p>
    <w:p>
      <w:r>
        <w:br w:type="page"/>
      </w:r>
    </w:p>
    <w:p>
      <w:pPr>
        <w:pStyle w:val="Heading1"/>
      </w:pPr>
      <w:r>
        <w:t>1. Objective</w:t>
      </w:r>
    </w:p>
    <w:p>
      <w:pPr/>
      <w:r>
        <w:t xml:space="preserve">Understand the structure of the Spanish labour market by province, sex, and economic sector, its quarterly evolution, and the territorial and gender inequalities in employment and unemployment. The analysis period is </w:t>
      </w:r>
      <w:r>
        <w:rPr>
          <w:b/>
        </w:rPr>
        <w:t>user-configurable</w:t>
      </w:r>
      <w:r>
        <w:t xml:space="preserve"> (default 2002–2025, i.e. the full available EPA range — 96 quarters). The project is designed to work with </w:t>
      </w:r>
      <w:r>
        <w:rPr>
          <w:b/>
        </w:rPr>
        <w:t>any period</w:t>
      </w:r>
      <w:r>
        <w:t xml:space="preserve"> of EPA data (quarterly from 2002 onwards).</w:t>
      </w:r>
    </w:p>
    <w:p>
      <w:pPr/>
      <w:r>
        <w:t>The 2002–2025 period captures the full arc of the modern Spanish labour market: the construction-fuelled expansion (2002–2007), the devastating Great Recession and housing bubble collapse (2008–2013), the slow structural recovery (2014–2019), the COVID-19 pandemic shock (2020), and the subsequent record-breaking employment rebound (2021–2025).</w:t>
      </w:r>
    </w:p>
    <w:p>
      <w:pPr>
        <w:pStyle w:val="Heading1"/>
      </w:pPr>
      <w:r>
        <w:t>2. Dataset</w:t>
      </w:r>
    </w:p>
    <w:tbl>
      <w:tblPr>
        <w:tblStyle w:val="TableGrid"/>
        <w:tblW w:type="auto" w:w="0"/>
        <w:jc w:val="center"/>
        <w:tblLook w:firstColumn="1" w:firstRow="1" w:lastColumn="0" w:lastRow="0" w:noHBand="0" w:noVBand="1" w:val="04A0"/>
      </w:tblPr>
      <w:tblGrid>
        <w:gridCol w:w="4680"/>
        <w:gridCol w:w="4680"/>
      </w:tblGrid>
      <w:tr>
        <w:tc>
          <w:tcPr>
            <w:tcW w:type="dxa" w:w="2160"/>
            <w:shd w:fill="2F5496"/>
          </w:tcPr>
          <w:p>
            <w:pPr>
              <w:jc w:val="center"/>
            </w:pPr>
            <w:r/>
            <w:r>
              <w:rPr>
                <w:b/>
                <w:color w:val="FFFFFF"/>
                <w:sz w:val="18"/>
              </w:rPr>
            </w:r>
          </w:p>
        </w:tc>
        <w:tc>
          <w:tcPr>
            <w:tcW w:type="dxa" w:w="7200"/>
            <w:shd w:fill="2F5496"/>
          </w:tcPr>
          <w:p>
            <w:pPr>
              <w:jc w:val="center"/>
            </w:pPr>
            <w:r/>
            <w:r>
              <w:rPr>
                <w:b/>
                <w:color w:val="FFFFFF"/>
                <w:sz w:val="18"/>
              </w:rPr>
              <w:t>Details</w:t>
            </w:r>
          </w:p>
        </w:tc>
      </w:tr>
      <w:tr>
        <w:tc>
          <w:tcPr>
            <w:tcW w:type="dxa" w:w="2160"/>
            <w:shd w:fill="D6E4F0"/>
          </w:tcPr>
          <w:p>
            <w:r>
              <w:rPr>
                <w:sz w:val="18"/>
              </w:rPr>
            </w:r>
            <w:r>
              <w:rPr>
                <w:b/>
                <w:sz w:val="18"/>
              </w:rPr>
              <w:t>Source</w:t>
            </w:r>
          </w:p>
        </w:tc>
        <w:tc>
          <w:tcPr>
            <w:tcW w:type="dxa" w:w="7200"/>
            <w:shd w:fill="D6E4F0"/>
          </w:tcPr>
          <w:p>
            <w:r>
              <w:rPr>
                <w:sz w:val="18"/>
              </w:rPr>
            </w:r>
            <w:r>
              <w:rPr>
                <w:sz w:val="18"/>
              </w:rPr>
              <w:t>INE public API — servicios.ine.es/wstempus/js</w:t>
            </w:r>
          </w:p>
        </w:tc>
      </w:tr>
      <w:tr>
        <w:tc>
          <w:tcPr>
            <w:tcW w:type="dxa" w:w="2160"/>
          </w:tcPr>
          <w:p>
            <w:r>
              <w:rPr>
                <w:sz w:val="18"/>
              </w:rPr>
            </w:r>
            <w:r>
              <w:rPr>
                <w:b/>
                <w:sz w:val="18"/>
              </w:rPr>
              <w:t>Tables</w:t>
            </w:r>
          </w:p>
        </w:tc>
        <w:tc>
          <w:tcPr>
            <w:tcW w:type="dxa" w:w="7200"/>
          </w:tcPr>
          <w:p>
            <w:r>
              <w:rPr>
                <w:sz w:val="18"/>
              </w:rPr>
            </w:r>
            <w:r>
              <w:rPr>
                <w:sz w:val="18"/>
              </w:rPr>
              <w:t>65345 (population), 65349 (rates), 65354 (sectors), 65219 (unemployment by age), 65086 (active by nationality), 65112 (employed by nationality)</w:t>
            </w:r>
          </w:p>
        </w:tc>
      </w:tr>
      <w:tr>
        <w:tc>
          <w:tcPr>
            <w:tcW w:type="dxa" w:w="2160"/>
            <w:shd w:fill="D6E4F0"/>
          </w:tcPr>
          <w:p>
            <w:r>
              <w:rPr>
                <w:sz w:val="18"/>
              </w:rPr>
            </w:r>
            <w:r>
              <w:rPr>
                <w:b/>
                <w:sz w:val="18"/>
              </w:rPr>
              <w:t>Size (2002–2025)</w:t>
            </w:r>
          </w:p>
        </w:tc>
        <w:tc>
          <w:tcPr>
            <w:tcW w:type="dxa" w:w="7200"/>
            <w:shd w:fill="D6E4F0"/>
          </w:tcPr>
          <w:p>
            <w:r>
              <w:rPr>
                <w:sz w:val="18"/>
              </w:rPr>
            </w:r>
            <w:r>
              <w:rPr>
                <w:sz w:val="18"/>
              </w:rPr>
              <w:t>~156,500 rows x 8 cols (raw) → 156,456 x 17 (after cleaning + features)</w:t>
            </w:r>
          </w:p>
        </w:tc>
      </w:tr>
      <w:tr>
        <w:tc>
          <w:tcPr>
            <w:tcW w:type="dxa" w:w="2160"/>
          </w:tcPr>
          <w:p>
            <w:r>
              <w:rPr>
                <w:sz w:val="18"/>
              </w:rPr>
            </w:r>
            <w:r>
              <w:rPr>
                <w:b/>
                <w:sz w:val="18"/>
              </w:rPr>
              <w:t>Time span</w:t>
            </w:r>
          </w:p>
        </w:tc>
        <w:tc>
          <w:tcPr>
            <w:tcW w:type="dxa" w:w="7200"/>
          </w:tcPr>
          <w:p>
            <w:r>
              <w:rPr>
                <w:sz w:val="18"/>
              </w:rPr>
            </w:r>
            <w:r>
              <w:rPr>
                <w:sz w:val="18"/>
              </w:rPr>
              <w:t>Q4 2001 – Q3 2025 (96 quarters)</w:t>
            </w:r>
          </w:p>
        </w:tc>
      </w:tr>
      <w:tr>
        <w:tc>
          <w:tcPr>
            <w:tcW w:type="dxa" w:w="2160"/>
            <w:shd w:fill="D6E4F0"/>
          </w:tcPr>
          <w:p>
            <w:r>
              <w:rPr>
                <w:sz w:val="18"/>
              </w:rPr>
            </w:r>
            <w:r>
              <w:rPr>
                <w:b/>
                <w:sz w:val="18"/>
              </w:rPr>
              <w:t>Geographic coverage</w:t>
            </w:r>
          </w:p>
        </w:tc>
        <w:tc>
          <w:tcPr>
            <w:tcW w:type="dxa" w:w="7200"/>
            <w:shd w:fill="D6E4F0"/>
          </w:tcPr>
          <w:p>
            <w:r>
              <w:rPr>
                <w:sz w:val="18"/>
              </w:rPr>
            </w:r>
            <w:r>
              <w:rPr>
                <w:sz w:val="18"/>
              </w:rPr>
              <w:t>52 provinces + national total (20 Autonomous Communities)</w:t>
            </w:r>
          </w:p>
        </w:tc>
      </w:tr>
      <w:tr>
        <w:tc>
          <w:tcPr>
            <w:tcW w:type="dxa" w:w="2160"/>
          </w:tcPr>
          <w:p>
            <w:r>
              <w:rPr>
                <w:sz w:val="18"/>
              </w:rPr>
            </w:r>
            <w:r>
              <w:rPr>
                <w:b/>
                <w:sz w:val="18"/>
              </w:rPr>
              <w:t>Key variables</w:t>
            </w:r>
          </w:p>
        </w:tc>
        <w:tc>
          <w:tcPr>
            <w:tcW w:type="dxa" w:w="7200"/>
          </w:tcPr>
          <w:p>
            <w:r>
              <w:rPr>
                <w:sz w:val="18"/>
              </w:rPr>
            </w:r>
            <w:r>
              <w:rPr>
                <w:sz w:val="18"/>
              </w:rPr>
              <w:t>province, sex, activity type, date (quarterly), value (thousands of people or %)</w:t>
            </w:r>
          </w:p>
        </w:tc>
      </w:tr>
      <w:tr>
        <w:tc>
          <w:tcPr>
            <w:tcW w:type="dxa" w:w="2160"/>
            <w:shd w:fill="D6E4F0"/>
          </w:tcPr>
          <w:p>
            <w:r>
              <w:rPr>
                <w:sz w:val="18"/>
              </w:rPr>
            </w:r>
            <w:r>
              <w:rPr>
                <w:b/>
                <w:sz w:val="18"/>
              </w:rPr>
              <w:t>Additional data</w:t>
            </w:r>
          </w:p>
        </w:tc>
        <w:tc>
          <w:tcPr>
            <w:tcW w:type="dxa" w:w="7200"/>
            <w:shd w:fill="D6E4F0"/>
          </w:tcPr>
          <w:p>
            <w:r>
              <w:rPr>
                <w:sz w:val="18"/>
              </w:rPr>
            </w:r>
            <w:r>
              <w:rPr>
                <w:sz w:val="18"/>
              </w:rPr>
              <w:t xml:space="preserve">Raw JSON API responses in </w:t>
            </w:r>
            <w:r>
              <w:rPr>
                <w:rFonts w:ascii="Consolas" w:hAnsi="Consolas"/>
                <w:color w:val="800000"/>
                <w:sz w:val="18"/>
              </w:rPr>
              <w:t>data/raw/</w:t>
            </w:r>
          </w:p>
        </w:tc>
      </w:tr>
    </w:tbl>
    <w:p/>
    <w:p>
      <w:pPr>
        <w:pStyle w:val="Heading2"/>
      </w:pPr>
      <w:r>
        <w:t>Table Detail</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2F5496"/>
          </w:tcPr>
          <w:p>
            <w:pPr>
              <w:jc w:val="center"/>
            </w:pPr>
            <w:r/>
            <w:r>
              <w:rPr>
                <w:b/>
                <w:color w:val="FFFFFF"/>
                <w:sz w:val="18"/>
              </w:rPr>
              <w:t>Table ID</w:t>
            </w:r>
          </w:p>
        </w:tc>
        <w:tc>
          <w:tcPr>
            <w:tcW w:type="dxa" w:w="5040"/>
            <w:shd w:fill="2F5496"/>
          </w:tcPr>
          <w:p>
            <w:pPr>
              <w:jc w:val="center"/>
            </w:pPr>
            <w:r/>
            <w:r>
              <w:rPr>
                <w:b/>
                <w:color w:val="FFFFFF"/>
                <w:sz w:val="18"/>
              </w:rPr>
              <w:t>Content</w:t>
            </w:r>
          </w:p>
        </w:tc>
        <w:tc>
          <w:tcPr>
            <w:tcW w:type="dxa" w:w="2880"/>
            <w:shd w:fill="2F5496"/>
          </w:tcPr>
          <w:p>
            <w:pPr>
              <w:jc w:val="center"/>
            </w:pPr>
            <w:r/>
            <w:r>
              <w:rPr>
                <w:b/>
                <w:color w:val="FFFFFF"/>
                <w:sz w:val="18"/>
              </w:rPr>
              <w:t>Use</w:t>
            </w:r>
          </w:p>
        </w:tc>
      </w:tr>
      <w:tr>
        <w:tc>
          <w:tcPr>
            <w:tcW w:type="dxa" w:w="1440"/>
            <w:shd w:fill="D6E4F0"/>
          </w:tcPr>
          <w:p>
            <w:r>
              <w:rPr>
                <w:sz w:val="18"/>
              </w:rPr>
            </w:r>
            <w:r>
              <w:rPr>
                <w:sz w:val="18"/>
              </w:rPr>
              <w:t>65345</w:t>
            </w:r>
          </w:p>
        </w:tc>
        <w:tc>
          <w:tcPr>
            <w:tcW w:type="dxa" w:w="5040"/>
            <w:shd w:fill="D6E4F0"/>
          </w:tcPr>
          <w:p>
            <w:r>
              <w:rPr>
                <w:sz w:val="18"/>
              </w:rPr>
            </w:r>
            <w:r>
              <w:rPr>
                <w:sz w:val="18"/>
              </w:rPr>
              <w:t>Population 16+ by activity, sex, and province — absolute figures (thousands of persons)</w:t>
            </w:r>
          </w:p>
        </w:tc>
        <w:tc>
          <w:tcPr>
            <w:tcW w:type="dxa" w:w="2880"/>
            <w:shd w:fill="D6E4F0"/>
          </w:tcPr>
          <w:p>
            <w:r>
              <w:rPr>
                <w:sz w:val="18"/>
              </w:rPr>
            </w:r>
            <w:r>
              <w:rPr>
                <w:sz w:val="18"/>
              </w:rPr>
              <w:t>Main CSV → Charts 1–6</w:t>
            </w:r>
          </w:p>
        </w:tc>
      </w:tr>
      <w:tr>
        <w:tc>
          <w:tcPr>
            <w:tcW w:type="dxa" w:w="1440"/>
          </w:tcPr>
          <w:p>
            <w:r>
              <w:rPr>
                <w:sz w:val="18"/>
              </w:rPr>
            </w:r>
            <w:r>
              <w:rPr>
                <w:sz w:val="18"/>
              </w:rPr>
              <w:t>65349</w:t>
            </w:r>
          </w:p>
        </w:tc>
        <w:tc>
          <w:tcPr>
            <w:tcW w:type="dxa" w:w="5040"/>
          </w:tcPr>
          <w:p>
            <w:r>
              <w:rPr>
                <w:sz w:val="18"/>
              </w:rPr>
            </w:r>
            <w:r>
              <w:rPr>
                <w:sz w:val="18"/>
              </w:rPr>
              <w:t>Activity / unemployment / employment rates by province and sex</w:t>
            </w:r>
          </w:p>
        </w:tc>
        <w:tc>
          <w:tcPr>
            <w:tcW w:type="dxa" w:w="2880"/>
          </w:tcPr>
          <w:p>
            <w:r>
              <w:rPr>
                <w:sz w:val="18"/>
              </w:rPr>
            </w:r>
            <w:r>
              <w:rPr>
                <w:sz w:val="18"/>
              </w:rPr>
              <w:t>Main CSV → Charts 1–6</w:t>
            </w:r>
          </w:p>
        </w:tc>
      </w:tr>
      <w:tr>
        <w:tc>
          <w:tcPr>
            <w:tcW w:type="dxa" w:w="1440"/>
            <w:shd w:fill="D6E4F0"/>
          </w:tcPr>
          <w:p>
            <w:r>
              <w:rPr>
                <w:sz w:val="18"/>
              </w:rPr>
            </w:r>
            <w:r>
              <w:rPr>
                <w:sz w:val="18"/>
              </w:rPr>
              <w:t>65354</w:t>
            </w:r>
          </w:p>
        </w:tc>
        <w:tc>
          <w:tcPr>
            <w:tcW w:type="dxa" w:w="5040"/>
            <w:shd w:fill="D6E4F0"/>
          </w:tcPr>
          <w:p>
            <w:r>
              <w:rPr>
                <w:sz w:val="18"/>
              </w:rPr>
            </w:r>
            <w:r>
              <w:rPr>
                <w:sz w:val="18"/>
              </w:rPr>
              <w:t>Employed persons by economic sector (CNAE) and province</w:t>
            </w:r>
          </w:p>
        </w:tc>
        <w:tc>
          <w:tcPr>
            <w:tcW w:type="dxa" w:w="2880"/>
            <w:shd w:fill="D6E4F0"/>
          </w:tcPr>
          <w:p>
            <w:r>
              <w:rPr>
                <w:sz w:val="18"/>
              </w:rPr>
            </w:r>
            <w:r>
              <w:rPr>
                <w:sz w:val="18"/>
              </w:rPr>
              <w:t>Main CSV → Charts 1–6</w:t>
            </w:r>
          </w:p>
        </w:tc>
      </w:tr>
      <w:tr>
        <w:tc>
          <w:tcPr>
            <w:tcW w:type="dxa" w:w="1440"/>
          </w:tcPr>
          <w:p>
            <w:r>
              <w:rPr>
                <w:sz w:val="18"/>
              </w:rPr>
            </w:r>
            <w:r>
              <w:rPr>
                <w:sz w:val="18"/>
              </w:rPr>
              <w:t>65219</w:t>
            </w:r>
          </w:p>
        </w:tc>
        <w:tc>
          <w:tcPr>
            <w:tcW w:type="dxa" w:w="5040"/>
          </w:tcPr>
          <w:p>
            <w:r>
              <w:rPr>
                <w:sz w:val="18"/>
              </w:rPr>
            </w:r>
            <w:r>
              <w:rPr>
                <w:sz w:val="18"/>
              </w:rPr>
              <w:t>Unemployment rates by sex and age group</w:t>
            </w:r>
          </w:p>
        </w:tc>
        <w:tc>
          <w:tcPr>
            <w:tcW w:type="dxa" w:w="2880"/>
          </w:tcPr>
          <w:p>
            <w:r>
              <w:rPr>
                <w:sz w:val="18"/>
              </w:rPr>
            </w:r>
            <w:r>
              <w:rPr>
                <w:sz w:val="18"/>
              </w:rPr>
              <w:t>JSON → Charts 7–8</w:t>
            </w:r>
          </w:p>
        </w:tc>
      </w:tr>
      <w:tr>
        <w:tc>
          <w:tcPr>
            <w:tcW w:type="dxa" w:w="1440"/>
            <w:shd w:fill="D6E4F0"/>
          </w:tcPr>
          <w:p>
            <w:r>
              <w:rPr>
                <w:sz w:val="18"/>
              </w:rPr>
            </w:r>
            <w:r>
              <w:rPr>
                <w:sz w:val="18"/>
              </w:rPr>
              <w:t>65086</w:t>
            </w:r>
          </w:p>
        </w:tc>
        <w:tc>
          <w:tcPr>
            <w:tcW w:type="dxa" w:w="5040"/>
            <w:shd w:fill="D6E4F0"/>
          </w:tcPr>
          <w:p>
            <w:r>
              <w:rPr>
                <w:sz w:val="18"/>
              </w:rPr>
            </w:r>
            <w:r>
              <w:rPr>
                <w:sz w:val="18"/>
              </w:rPr>
              <w:t>Active population by nationality, sex, and age group</w:t>
            </w:r>
          </w:p>
        </w:tc>
        <w:tc>
          <w:tcPr>
            <w:tcW w:type="dxa" w:w="2880"/>
            <w:shd w:fill="D6E4F0"/>
          </w:tcPr>
          <w:p>
            <w:r>
              <w:rPr>
                <w:sz w:val="18"/>
              </w:rPr>
            </w:r>
            <w:r>
              <w:rPr>
                <w:sz w:val="18"/>
              </w:rPr>
              <w:t>JSON → Chart 9 (merge)</w:t>
            </w:r>
          </w:p>
        </w:tc>
      </w:tr>
      <w:tr>
        <w:tc>
          <w:tcPr>
            <w:tcW w:type="dxa" w:w="1440"/>
          </w:tcPr>
          <w:p>
            <w:r>
              <w:rPr>
                <w:sz w:val="18"/>
              </w:rPr>
            </w:r>
            <w:r>
              <w:rPr>
                <w:sz w:val="18"/>
              </w:rPr>
              <w:t>65112</w:t>
            </w:r>
          </w:p>
        </w:tc>
        <w:tc>
          <w:tcPr>
            <w:tcW w:type="dxa" w:w="5040"/>
          </w:tcPr>
          <w:p>
            <w:r>
              <w:rPr>
                <w:sz w:val="18"/>
              </w:rPr>
            </w:r>
            <w:r>
              <w:rPr>
                <w:sz w:val="18"/>
              </w:rPr>
              <w:t>Employed population by nationality, sex, and age group</w:t>
            </w:r>
          </w:p>
        </w:tc>
        <w:tc>
          <w:tcPr>
            <w:tcW w:type="dxa" w:w="2880"/>
          </w:tcPr>
          <w:p>
            <w:r>
              <w:rPr>
                <w:sz w:val="18"/>
              </w:rPr>
            </w:r>
            <w:r>
              <w:rPr>
                <w:sz w:val="18"/>
              </w:rPr>
              <w:t>JSON → Chart 9 (merge)</w:t>
            </w:r>
          </w:p>
        </w:tc>
      </w:tr>
    </w:tbl>
    <w:p/>
    <w:p>
      <w:pPr/>
      <w:r>
        <w:t>Tables 65345, 65349, and 65354 are merged into a single combined CSV that feeds the main cleaning pipeline. Tables 65219, 65086, and 65112 are preserved as raw JSON files and parsed directly inside the notebook for charts 7–9.</w:t>
      </w:r>
    </w:p>
    <w:p/>
    <w:p>
      <w:pPr/>
      <w:r>
        <w:rPr>
          <w:b/>
        </w:rPr>
        <w:t>Methodological note (chart 9):</w:t>
      </w:r>
      <w:r>
        <w:t xml:space="preserve"> The INE API does not publish a table with unemployment rates broken down simultaneously by nationality and age group. To obtain them, tables 65086 (active) and 65112 (employed) were downloaded with the same dimensions (nationality x sex x age) and the rate was calculated as: </w:t>
      </w:r>
      <w:r>
        <w:rPr>
          <w:rFonts w:ascii="Consolas" w:hAnsi="Consolas"/>
          <w:color w:val="800000"/>
          <w:sz w:val="18"/>
        </w:rPr>
        <w:t>unemployment_rate = (active - employed) / active * 100</w:t>
      </w:r>
      <w:r>
        <w:t>. The result was validated against the official table 65336 with an exact match.</w:t>
      </w:r>
    </w:p>
    <w:p>
      <w:pPr>
        <w:pStyle w:val="Heading2"/>
      </w:pPr>
      <w:r>
        <w:t>Raw JSON Field Glossary</w:t>
      </w:r>
    </w:p>
    <w:p>
      <w:pPr/>
      <w:r>
        <w:t xml:space="preserve">The raw JSON files in </w:t>
      </w:r>
      <w:r>
        <w:rPr>
          <w:rFonts w:ascii="Consolas" w:hAnsi="Consolas"/>
          <w:color w:val="800000"/>
          <w:sz w:val="18"/>
        </w:rPr>
        <w:t>data/raw/</w:t>
      </w:r>
      <w:r>
        <w:t xml:space="preserve"> use INE's internal field names and coded values. This table documents every field:</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2F5496"/>
          </w:tcPr>
          <w:p>
            <w:pPr>
              <w:jc w:val="center"/>
            </w:pPr>
            <w:r/>
            <w:r>
              <w:rPr>
                <w:b/>
                <w:color w:val="FFFFFF"/>
                <w:sz w:val="18"/>
              </w:rPr>
              <w:t>Field</w:t>
            </w:r>
          </w:p>
        </w:tc>
        <w:tc>
          <w:tcPr>
            <w:tcW w:type="dxa" w:w="4032"/>
            <w:shd w:fill="2F5496"/>
          </w:tcPr>
          <w:p>
            <w:pPr>
              <w:jc w:val="center"/>
            </w:pPr>
            <w:r/>
            <w:r>
              <w:rPr>
                <w:b/>
                <w:color w:val="FFFFFF"/>
                <w:sz w:val="18"/>
              </w:rPr>
              <w:t>Meaning</w:t>
            </w:r>
          </w:p>
        </w:tc>
        <w:tc>
          <w:tcPr>
            <w:tcW w:type="dxa" w:w="3600"/>
            <w:shd w:fill="2F5496"/>
          </w:tcPr>
          <w:p>
            <w:pPr>
              <w:jc w:val="center"/>
            </w:pPr>
            <w:r/>
            <w:r>
              <w:rPr>
                <w:b/>
                <w:color w:val="FFFFFF"/>
                <w:sz w:val="18"/>
              </w:rPr>
              <w:t>Values / Example</w:t>
            </w:r>
          </w:p>
        </w:tc>
      </w:tr>
      <w:tr>
        <w:tc>
          <w:tcPr>
            <w:tcW w:type="dxa" w:w="1728"/>
            <w:shd w:fill="D6E4F0"/>
          </w:tcPr>
          <w:p>
            <w:r>
              <w:rPr>
                <w:sz w:val="18"/>
              </w:rPr>
            </w:r>
            <w:r>
              <w:rPr>
                <w:rFonts w:ascii="Consolas" w:hAnsi="Consolas"/>
                <w:color w:val="800000"/>
                <w:sz w:val="18"/>
              </w:rPr>
              <w:t>COD</w:t>
            </w:r>
          </w:p>
        </w:tc>
        <w:tc>
          <w:tcPr>
            <w:tcW w:type="dxa" w:w="4032"/>
            <w:shd w:fill="D6E4F0"/>
          </w:tcPr>
          <w:p>
            <w:r>
              <w:rPr>
                <w:sz w:val="18"/>
              </w:rPr>
            </w:r>
            <w:r>
              <w:rPr>
                <w:sz w:val="18"/>
              </w:rPr>
              <w:t>Internal series code</w:t>
            </w:r>
          </w:p>
        </w:tc>
        <w:tc>
          <w:tcPr>
            <w:tcW w:type="dxa" w:w="3600"/>
            <w:shd w:fill="D6E4F0"/>
          </w:tcPr>
          <w:p>
            <w:r>
              <w:rPr>
                <w:sz w:val="18"/>
              </w:rPr>
            </w:r>
            <w:r>
              <w:rPr>
                <w:rFonts w:ascii="Consolas" w:hAnsi="Consolas"/>
                <w:color w:val="800000"/>
                <w:sz w:val="18"/>
              </w:rPr>
              <w:t>"EPA397872"</w:t>
            </w:r>
          </w:p>
        </w:tc>
      </w:tr>
      <w:tr>
        <w:tc>
          <w:tcPr>
            <w:tcW w:type="dxa" w:w="1728"/>
          </w:tcPr>
          <w:p>
            <w:r>
              <w:rPr>
                <w:sz w:val="18"/>
              </w:rPr>
            </w:r>
            <w:r>
              <w:rPr>
                <w:rFonts w:ascii="Consolas" w:hAnsi="Consolas"/>
                <w:color w:val="800000"/>
                <w:sz w:val="18"/>
              </w:rPr>
              <w:t>Nombre</w:t>
            </w:r>
          </w:p>
        </w:tc>
        <w:tc>
          <w:tcPr>
            <w:tcW w:type="dxa" w:w="4032"/>
          </w:tcPr>
          <w:p>
            <w:r>
              <w:rPr>
                <w:sz w:val="18"/>
              </w:rPr>
            </w:r>
            <w:r>
              <w:rPr>
                <w:sz w:val="18"/>
              </w:rPr>
              <w:t>Series name (all dimensions packed in one string)</w:t>
            </w:r>
          </w:p>
        </w:tc>
        <w:tc>
          <w:tcPr>
            <w:tcW w:type="dxa" w:w="3600"/>
          </w:tcPr>
          <w:p>
            <w:r>
              <w:rPr>
                <w:sz w:val="18"/>
              </w:rPr>
            </w:r>
            <w:r>
              <w:rPr>
                <w:rFonts w:ascii="Consolas" w:hAnsi="Consolas"/>
                <w:color w:val="800000"/>
                <w:sz w:val="18"/>
              </w:rPr>
              <w:t>"Total Nacional. Ocupados. Ambos sexos. Total CNAE. Personas. "</w:t>
            </w:r>
          </w:p>
        </w:tc>
      </w:tr>
      <w:tr>
        <w:tc>
          <w:tcPr>
            <w:tcW w:type="dxa" w:w="1728"/>
            <w:shd w:fill="D6E4F0"/>
          </w:tcPr>
          <w:p>
            <w:r>
              <w:rPr>
                <w:sz w:val="18"/>
              </w:rPr>
            </w:r>
            <w:r>
              <w:rPr>
                <w:rFonts w:ascii="Consolas" w:hAnsi="Consolas"/>
                <w:color w:val="800000"/>
                <w:sz w:val="18"/>
              </w:rPr>
              <w:t>FK_Unidad</w:t>
            </w:r>
          </w:p>
        </w:tc>
        <w:tc>
          <w:tcPr>
            <w:tcW w:type="dxa" w:w="4032"/>
            <w:shd w:fill="D6E4F0"/>
          </w:tcPr>
          <w:p>
            <w:r>
              <w:rPr>
                <w:sz w:val="18"/>
              </w:rPr>
            </w:r>
            <w:r>
              <w:rPr>
                <w:sz w:val="18"/>
              </w:rPr>
              <w:t xml:space="preserve">Unit of measurement — </w:t>
            </w:r>
            <w:r>
              <w:rPr>
                <w:b/>
                <w:sz w:val="18"/>
              </w:rPr>
              <w:t>3</w:t>
            </w:r>
            <w:r>
              <w:rPr>
                <w:sz w:val="18"/>
              </w:rPr>
              <w:t xml:space="preserve"> = Personas, </w:t>
            </w:r>
            <w:r>
              <w:rPr>
                <w:b/>
                <w:sz w:val="18"/>
              </w:rPr>
              <w:t>101</w:t>
            </w:r>
            <w:r>
              <w:rPr>
                <w:sz w:val="18"/>
              </w:rPr>
              <w:t xml:space="preserve"> = Porcentaje</w:t>
            </w:r>
          </w:p>
        </w:tc>
        <w:tc>
          <w:tcPr>
            <w:tcW w:type="dxa" w:w="3600"/>
            <w:shd w:fill="D6E4F0"/>
          </w:tcPr>
          <w:p>
            <w:r>
              <w:rPr>
                <w:sz w:val="18"/>
              </w:rPr>
            </w:r>
            <w:r>
              <w:rPr>
                <w:rFonts w:ascii="Consolas" w:hAnsi="Consolas"/>
                <w:color w:val="800000"/>
                <w:sz w:val="18"/>
              </w:rPr>
              <w:t>3</w:t>
            </w:r>
          </w:p>
        </w:tc>
      </w:tr>
      <w:tr>
        <w:tc>
          <w:tcPr>
            <w:tcW w:type="dxa" w:w="1728"/>
          </w:tcPr>
          <w:p>
            <w:r>
              <w:rPr>
                <w:sz w:val="18"/>
              </w:rPr>
            </w:r>
            <w:r>
              <w:rPr>
                <w:rFonts w:ascii="Consolas" w:hAnsi="Consolas"/>
                <w:color w:val="800000"/>
                <w:sz w:val="18"/>
              </w:rPr>
              <w:t>FK_Escala</w:t>
            </w:r>
          </w:p>
        </w:tc>
        <w:tc>
          <w:tcPr>
            <w:tcW w:type="dxa" w:w="4032"/>
          </w:tcPr>
          <w:p>
            <w:r>
              <w:rPr>
                <w:sz w:val="18"/>
              </w:rPr>
            </w:r>
            <w:r>
              <w:rPr>
                <w:sz w:val="18"/>
              </w:rPr>
              <w:t xml:space="preserve">Scale/multiplier — </w:t>
            </w:r>
            <w:r>
              <w:rPr>
                <w:b/>
                <w:sz w:val="18"/>
              </w:rPr>
              <w:t>4</w:t>
            </w:r>
            <w:r>
              <w:rPr>
                <w:sz w:val="18"/>
              </w:rPr>
              <w:t xml:space="preserve"> = Miles (×1,000)</w:t>
            </w:r>
          </w:p>
        </w:tc>
        <w:tc>
          <w:tcPr>
            <w:tcW w:type="dxa" w:w="3600"/>
          </w:tcPr>
          <w:p>
            <w:r>
              <w:rPr>
                <w:sz w:val="18"/>
              </w:rPr>
            </w:r>
            <w:r>
              <w:rPr>
                <w:rFonts w:ascii="Consolas" w:hAnsi="Consolas"/>
                <w:color w:val="800000"/>
                <w:sz w:val="18"/>
              </w:rPr>
              <w:t>4</w:t>
            </w:r>
            <w:r>
              <w:rPr>
                <w:sz w:val="18"/>
              </w:rPr>
              <w:t xml:space="preserve"> → a </w:t>
            </w:r>
            <w:r>
              <w:rPr>
                <w:rFonts w:ascii="Consolas" w:hAnsi="Consolas"/>
                <w:color w:val="800000"/>
                <w:sz w:val="18"/>
              </w:rPr>
              <w:t>Valor</w:t>
            </w:r>
            <w:r>
              <w:rPr>
                <w:sz w:val="18"/>
              </w:rPr>
              <w:t xml:space="preserve"> of 22463.3 means 22,463,300 persons</w:t>
            </w:r>
          </w:p>
        </w:tc>
      </w:tr>
      <w:tr>
        <w:tc>
          <w:tcPr>
            <w:tcW w:type="dxa" w:w="1728"/>
            <w:shd w:fill="D6E4F0"/>
          </w:tcPr>
          <w:p>
            <w:r>
              <w:rPr>
                <w:sz w:val="18"/>
              </w:rPr>
            </w:r>
            <w:r>
              <w:rPr>
                <w:rFonts w:ascii="Consolas" w:hAnsi="Consolas"/>
                <w:color w:val="800000"/>
                <w:sz w:val="18"/>
              </w:rPr>
              <w:t>Fecha</w:t>
            </w:r>
          </w:p>
        </w:tc>
        <w:tc>
          <w:tcPr>
            <w:tcW w:type="dxa" w:w="4032"/>
            <w:shd w:fill="D6E4F0"/>
          </w:tcPr>
          <w:p>
            <w:r>
              <w:rPr>
                <w:sz w:val="18"/>
              </w:rPr>
            </w:r>
            <w:r>
              <w:rPr>
                <w:b/>
                <w:sz w:val="18"/>
              </w:rPr>
              <w:t>Unix timestamp in milliseconds</w:t>
            </w:r>
          </w:p>
        </w:tc>
        <w:tc>
          <w:tcPr>
            <w:tcW w:type="dxa" w:w="3600"/>
            <w:shd w:fill="D6E4F0"/>
          </w:tcPr>
          <w:p>
            <w:r>
              <w:rPr>
                <w:sz w:val="18"/>
              </w:rPr>
            </w:r>
            <w:r>
              <w:rPr>
                <w:rFonts w:ascii="Consolas" w:hAnsi="Consolas"/>
                <w:color w:val="800000"/>
                <w:sz w:val="18"/>
              </w:rPr>
              <w:t>1759269600000</w:t>
            </w:r>
            <w:r>
              <w:rPr>
                <w:sz w:val="18"/>
              </w:rPr>
              <w:t xml:space="preserve"> → 2025-10-01</w:t>
            </w:r>
          </w:p>
        </w:tc>
      </w:tr>
      <w:tr>
        <w:tc>
          <w:tcPr>
            <w:tcW w:type="dxa" w:w="1728"/>
          </w:tcPr>
          <w:p>
            <w:r>
              <w:rPr>
                <w:sz w:val="18"/>
              </w:rPr>
            </w:r>
            <w:r>
              <w:rPr>
                <w:rFonts w:ascii="Consolas" w:hAnsi="Consolas"/>
                <w:color w:val="800000"/>
                <w:sz w:val="18"/>
              </w:rPr>
              <w:t>FK_TipoDato</w:t>
            </w:r>
          </w:p>
        </w:tc>
        <w:tc>
          <w:tcPr>
            <w:tcW w:type="dxa" w:w="4032"/>
          </w:tcPr>
          <w:p>
            <w:r>
              <w:rPr>
                <w:sz w:val="18"/>
              </w:rPr>
            </w:r>
            <w:r>
              <w:rPr>
                <w:sz w:val="18"/>
              </w:rPr>
              <w:t xml:space="preserve">Data type — </w:t>
            </w:r>
            <w:r>
              <w:rPr>
                <w:b/>
                <w:sz w:val="18"/>
              </w:rPr>
              <w:t>1</w:t>
            </w:r>
            <w:r>
              <w:rPr>
                <w:sz w:val="18"/>
              </w:rPr>
              <w:t xml:space="preserve"> = definitive data</w:t>
            </w:r>
          </w:p>
        </w:tc>
        <w:tc>
          <w:tcPr>
            <w:tcW w:type="dxa" w:w="3600"/>
          </w:tcPr>
          <w:p>
            <w:r>
              <w:rPr>
                <w:sz w:val="18"/>
              </w:rPr>
            </w:r>
            <w:r>
              <w:rPr>
                <w:sz w:val="18"/>
              </w:rPr>
              <w:t xml:space="preserve">Always </w:t>
            </w:r>
            <w:r>
              <w:rPr>
                <w:rFonts w:ascii="Consolas" w:hAnsi="Consolas"/>
                <w:color w:val="800000"/>
                <w:sz w:val="18"/>
              </w:rPr>
              <w:t>1</w:t>
            </w:r>
            <w:r>
              <w:rPr>
                <w:sz w:val="18"/>
              </w:rPr>
              <w:t xml:space="preserve"> in EPA</w:t>
            </w:r>
          </w:p>
        </w:tc>
      </w:tr>
      <w:tr>
        <w:tc>
          <w:tcPr>
            <w:tcW w:type="dxa" w:w="1728"/>
            <w:shd w:fill="D6E4F0"/>
          </w:tcPr>
          <w:p>
            <w:r>
              <w:rPr>
                <w:sz w:val="18"/>
              </w:rPr>
            </w:r>
            <w:r>
              <w:rPr>
                <w:rFonts w:ascii="Consolas" w:hAnsi="Consolas"/>
                <w:color w:val="800000"/>
                <w:sz w:val="18"/>
              </w:rPr>
              <w:t>FK_Periodo</w:t>
            </w:r>
          </w:p>
        </w:tc>
        <w:tc>
          <w:tcPr>
            <w:tcW w:type="dxa" w:w="4032"/>
            <w:shd w:fill="D6E4F0"/>
          </w:tcPr>
          <w:p>
            <w:r>
              <w:rPr>
                <w:sz w:val="18"/>
              </w:rPr>
            </w:r>
            <w:r>
              <w:rPr>
                <w:sz w:val="18"/>
              </w:rPr>
              <w:t xml:space="preserve">Quarter ID (non-sequential): </w:t>
            </w:r>
            <w:r>
              <w:rPr>
                <w:b/>
                <w:sz w:val="18"/>
              </w:rPr>
              <w:t>19</w:t>
            </w:r>
            <w:r>
              <w:rPr>
                <w:sz w:val="18"/>
              </w:rPr>
              <w:t xml:space="preserve">=Q4, </w:t>
            </w:r>
            <w:r>
              <w:rPr>
                <w:b/>
                <w:sz w:val="18"/>
              </w:rPr>
              <w:t>20</w:t>
            </w:r>
            <w:r>
              <w:rPr>
                <w:sz w:val="18"/>
              </w:rPr>
              <w:t xml:space="preserve">=Q1, </w:t>
            </w:r>
            <w:r>
              <w:rPr>
                <w:b/>
                <w:sz w:val="18"/>
              </w:rPr>
              <w:t>21</w:t>
            </w:r>
            <w:r>
              <w:rPr>
                <w:sz w:val="18"/>
              </w:rPr>
              <w:t xml:space="preserve">=Q2, </w:t>
            </w:r>
            <w:r>
              <w:rPr>
                <w:b/>
                <w:sz w:val="18"/>
              </w:rPr>
              <w:t>22</w:t>
            </w:r>
            <w:r>
              <w:rPr>
                <w:sz w:val="18"/>
              </w:rPr>
              <w:t>=Q3</w:t>
            </w:r>
          </w:p>
        </w:tc>
        <w:tc>
          <w:tcPr>
            <w:tcW w:type="dxa" w:w="3600"/>
            <w:shd w:fill="D6E4F0"/>
          </w:tcPr>
          <w:p>
            <w:r>
              <w:rPr>
                <w:sz w:val="18"/>
              </w:rPr>
            </w:r>
            <w:r>
              <w:rPr>
                <w:rFonts w:ascii="Consolas" w:hAnsi="Consolas"/>
                <w:color w:val="800000"/>
                <w:sz w:val="18"/>
              </w:rPr>
              <w:t>22</w:t>
            </w:r>
            <w:r>
              <w:rPr>
                <w:sz w:val="18"/>
              </w:rPr>
              <w:t xml:space="preserve"> → Q3</w:t>
            </w:r>
          </w:p>
        </w:tc>
      </w:tr>
      <w:tr>
        <w:tc>
          <w:tcPr>
            <w:tcW w:type="dxa" w:w="1728"/>
          </w:tcPr>
          <w:p>
            <w:r>
              <w:rPr>
                <w:sz w:val="18"/>
              </w:rPr>
            </w:r>
            <w:r>
              <w:rPr>
                <w:rFonts w:ascii="Consolas" w:hAnsi="Consolas"/>
                <w:color w:val="800000"/>
                <w:sz w:val="18"/>
              </w:rPr>
              <w:t>Anyo</w:t>
            </w:r>
          </w:p>
        </w:tc>
        <w:tc>
          <w:tcPr>
            <w:tcW w:type="dxa" w:w="4032"/>
          </w:tcPr>
          <w:p>
            <w:r>
              <w:rPr>
                <w:sz w:val="18"/>
              </w:rPr>
            </w:r>
            <w:r>
              <w:rPr>
                <w:sz w:val="18"/>
              </w:rPr>
              <w:t xml:space="preserve">Year (Spanish </w:t>
            </w:r>
            <w:r>
              <w:rPr>
                <w:i/>
                <w:sz w:val="18"/>
              </w:rPr>
              <w:t>año</w:t>
            </w:r>
            <w:r>
              <w:rPr>
                <w:sz w:val="18"/>
              </w:rPr>
              <w:t xml:space="preserve"> in ASCII)</w:t>
            </w:r>
          </w:p>
        </w:tc>
        <w:tc>
          <w:tcPr>
            <w:tcW w:type="dxa" w:w="3600"/>
          </w:tcPr>
          <w:p>
            <w:r>
              <w:rPr>
                <w:sz w:val="18"/>
              </w:rPr>
            </w:r>
            <w:r>
              <w:rPr>
                <w:rFonts w:ascii="Consolas" w:hAnsi="Consolas"/>
                <w:color w:val="800000"/>
                <w:sz w:val="18"/>
              </w:rPr>
              <w:t>2025</w:t>
            </w:r>
          </w:p>
        </w:tc>
      </w:tr>
      <w:tr>
        <w:tc>
          <w:tcPr>
            <w:tcW w:type="dxa" w:w="1728"/>
            <w:shd w:fill="D6E4F0"/>
          </w:tcPr>
          <w:p>
            <w:r>
              <w:rPr>
                <w:sz w:val="18"/>
              </w:rPr>
            </w:r>
            <w:r>
              <w:rPr>
                <w:rFonts w:ascii="Consolas" w:hAnsi="Consolas"/>
                <w:color w:val="800000"/>
                <w:sz w:val="18"/>
              </w:rPr>
              <w:t>Valor</w:t>
            </w:r>
          </w:p>
        </w:tc>
        <w:tc>
          <w:tcPr>
            <w:tcW w:type="dxa" w:w="4032"/>
            <w:shd w:fill="D6E4F0"/>
          </w:tcPr>
          <w:p>
            <w:r>
              <w:rPr>
                <w:sz w:val="18"/>
              </w:rPr>
            </w:r>
            <w:r>
              <w:rPr>
                <w:sz w:val="18"/>
              </w:rPr>
              <w:t xml:space="preserve">Observed value (unit and scale depend on </w:t>
            </w:r>
            <w:r>
              <w:rPr>
                <w:rFonts w:ascii="Consolas" w:hAnsi="Consolas"/>
                <w:color w:val="800000"/>
                <w:sz w:val="18"/>
              </w:rPr>
              <w:t>FK_Unidad</w:t>
            </w:r>
            <w:r>
              <w:rPr>
                <w:sz w:val="18"/>
              </w:rPr>
              <w:t xml:space="preserve"> / </w:t>
            </w:r>
            <w:r>
              <w:rPr>
                <w:rFonts w:ascii="Consolas" w:hAnsi="Consolas"/>
                <w:color w:val="800000"/>
                <w:sz w:val="18"/>
              </w:rPr>
              <w:t>FK_Escala</w:t>
            </w:r>
            <w:r>
              <w:rPr>
                <w:sz w:val="18"/>
              </w:rPr>
              <w:t>)</w:t>
            </w:r>
          </w:p>
        </w:tc>
        <w:tc>
          <w:tcPr>
            <w:tcW w:type="dxa" w:w="3600"/>
            <w:shd w:fill="D6E4F0"/>
          </w:tcPr>
          <w:p>
            <w:r>
              <w:rPr>
                <w:sz w:val="18"/>
              </w:rPr>
            </w:r>
            <w:r>
              <w:rPr>
                <w:rFonts w:ascii="Consolas" w:hAnsi="Consolas"/>
                <w:color w:val="800000"/>
                <w:sz w:val="18"/>
              </w:rPr>
              <w:t>22463.3</w:t>
            </w:r>
          </w:p>
        </w:tc>
      </w:tr>
      <w:tr>
        <w:tc>
          <w:tcPr>
            <w:tcW w:type="dxa" w:w="1728"/>
          </w:tcPr>
          <w:p>
            <w:r>
              <w:rPr>
                <w:sz w:val="18"/>
              </w:rPr>
            </w:r>
            <w:r>
              <w:rPr>
                <w:rFonts w:ascii="Consolas" w:hAnsi="Consolas"/>
                <w:color w:val="800000"/>
                <w:sz w:val="18"/>
              </w:rPr>
              <w:t>Secreto</w:t>
            </w:r>
          </w:p>
        </w:tc>
        <w:tc>
          <w:tcPr>
            <w:tcW w:type="dxa" w:w="4032"/>
          </w:tcPr>
          <w:p>
            <w:r>
              <w:rPr>
                <w:sz w:val="18"/>
              </w:rPr>
            </w:r>
            <w:r>
              <w:rPr>
                <w:sz w:val="18"/>
              </w:rPr>
              <w:t xml:space="preserve">Statistical secrecy flag — </w:t>
            </w:r>
            <w:r>
              <w:rPr>
                <w:rFonts w:ascii="Consolas" w:hAnsi="Consolas"/>
                <w:color w:val="800000"/>
                <w:sz w:val="18"/>
              </w:rPr>
              <w:t>true</w:t>
            </w:r>
            <w:r>
              <w:rPr>
                <w:sz w:val="18"/>
              </w:rPr>
              <w:t xml:space="preserve"> = value suppressed for respondent privacy</w:t>
            </w:r>
          </w:p>
        </w:tc>
        <w:tc>
          <w:tcPr>
            <w:tcW w:type="dxa" w:w="3600"/>
          </w:tcPr>
          <w:p>
            <w:r>
              <w:rPr>
                <w:sz w:val="18"/>
              </w:rPr>
            </w:r>
            <w:r>
              <w:rPr>
                <w:rFonts w:ascii="Consolas" w:hAnsi="Consolas"/>
                <w:color w:val="800000"/>
                <w:sz w:val="18"/>
              </w:rPr>
              <w:t>false</w:t>
            </w:r>
            <w:r>
              <w:rPr>
                <w:sz w:val="18"/>
              </w:rPr>
              <w:t xml:space="preserve"> (all values publishable in 2002–2025)</w:t>
            </w:r>
          </w:p>
        </w:tc>
      </w:tr>
    </w:tbl>
    <w:p/>
    <w:p>
      <w:pPr/>
      <w:r>
        <w:rPr>
          <w:b/>
        </w:rPr>
        <w:t>Note:</w:t>
      </w:r>
      <w:r>
        <w:t xml:space="preserve"> </w:t>
      </w:r>
      <w:r>
        <w:rPr>
          <w:rFonts w:ascii="Consolas" w:hAnsi="Consolas"/>
          <w:color w:val="800000"/>
          <w:sz w:val="18"/>
        </w:rPr>
        <w:t>FK_Periodo</w:t>
      </w:r>
      <w:r>
        <w:t xml:space="preserve"> uses an internal INE numbering (19–22) shared across periodicities (monthly, quarterly, annual), which is why quarter IDs do not start at 1. The pipeline maps them to T1–T4 via </w:t>
      </w:r>
      <w:r>
        <w:rPr>
          <w:rFonts w:ascii="Consolas" w:hAnsi="Consolas"/>
          <w:color w:val="800000"/>
          <w:sz w:val="18"/>
        </w:rPr>
        <w:t>PERIODO_MAP</w:t>
      </w:r>
      <w:r>
        <w:t xml:space="preserve"> in </w:t>
      </w:r>
      <w:r>
        <w:rPr>
          <w:rFonts w:ascii="Consolas" w:hAnsi="Consolas"/>
          <w:color w:val="800000"/>
          <w:sz w:val="18"/>
        </w:rPr>
        <w:t>src/features.py</w:t>
      </w:r>
      <w:r>
        <w:t xml:space="preserve">. </w:t>
      </w:r>
      <w:r>
        <w:rPr>
          <w:rFonts w:ascii="Consolas" w:hAnsi="Consolas"/>
          <w:color w:val="800000"/>
          <w:sz w:val="18"/>
        </w:rPr>
        <w:t>FK_Unidad</w:t>
      </w:r>
      <w:r>
        <w:t xml:space="preserve"> and </w:t>
      </w:r>
      <w:r>
        <w:rPr>
          <w:rFonts w:ascii="Consolas" w:hAnsi="Consolas"/>
          <w:color w:val="800000"/>
          <w:sz w:val="18"/>
        </w:rPr>
        <w:t>FK_Escala</w:t>
      </w:r>
      <w:r>
        <w:t xml:space="preserve"> are not extracted into the CSV — the unit context is implicit in the analysis.</w:t>
      </w:r>
    </w:p>
    <w:p>
      <w:pPr>
        <w:pStyle w:val="Heading2"/>
      </w:pPr>
      <w:r>
        <w:t>How Raw JSON Fields Map to the Processed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F5496"/>
          </w:tcPr>
          <w:p>
            <w:pPr>
              <w:jc w:val="center"/>
            </w:pPr>
            <w:r/>
            <w:r>
              <w:rPr>
                <w:b/>
                <w:color w:val="FFFFFF"/>
                <w:sz w:val="18"/>
              </w:rPr>
              <w:t>Raw JSON field</w:t>
            </w:r>
          </w:p>
        </w:tc>
        <w:tc>
          <w:tcPr>
            <w:tcW w:type="dxa" w:w="1872"/>
            <w:shd w:fill="2F5496"/>
          </w:tcPr>
          <w:p>
            <w:pPr>
              <w:jc w:val="center"/>
            </w:pPr>
            <w:r/>
            <w:r>
              <w:rPr>
                <w:b/>
                <w:color w:val="FFFFFF"/>
                <w:sz w:val="18"/>
              </w:rPr>
              <w:t>Raw CSV column</w:t>
            </w:r>
          </w:p>
        </w:tc>
        <w:tc>
          <w:tcPr>
            <w:tcW w:type="dxa" w:w="2880"/>
            <w:shd w:fill="2F5496"/>
          </w:tcPr>
          <w:p>
            <w:pPr>
              <w:jc w:val="center"/>
            </w:pPr>
            <w:r/>
            <w:r>
              <w:rPr>
                <w:b/>
                <w:color w:val="FFFFFF"/>
                <w:sz w:val="18"/>
              </w:rPr>
              <w:t>Final clean column</w:t>
            </w:r>
          </w:p>
        </w:tc>
        <w:tc>
          <w:tcPr>
            <w:tcW w:type="dxa" w:w="2880"/>
            <w:shd w:fill="2F5496"/>
          </w:tcPr>
          <w:p>
            <w:pPr>
              <w:jc w:val="center"/>
            </w:pPr>
            <w:r/>
            <w:r>
              <w:rPr>
                <w:b/>
                <w:color w:val="FFFFFF"/>
                <w:sz w:val="18"/>
              </w:rPr>
              <w:t>Transformation</w:t>
            </w:r>
          </w:p>
        </w:tc>
      </w:tr>
      <w:tr>
        <w:tc>
          <w:tcPr>
            <w:tcW w:type="dxa" w:w="1728"/>
            <w:shd w:fill="D6E4F0"/>
          </w:tcPr>
          <w:p>
            <w:r>
              <w:rPr>
                <w:sz w:val="18"/>
              </w:rPr>
            </w:r>
            <w:r>
              <w:rPr>
                <w:rFonts w:ascii="Consolas" w:hAnsi="Consolas"/>
                <w:color w:val="800000"/>
                <w:sz w:val="18"/>
              </w:rPr>
              <w:t>COD</w:t>
            </w:r>
          </w:p>
        </w:tc>
        <w:tc>
          <w:tcPr>
            <w:tcW w:type="dxa" w:w="1872"/>
            <w:shd w:fill="D6E4F0"/>
          </w:tcPr>
          <w:p>
            <w:r>
              <w:rPr>
                <w:sz w:val="18"/>
              </w:rPr>
            </w:r>
            <w:r>
              <w:rPr>
                <w:rFonts w:ascii="Consolas" w:hAnsi="Consolas"/>
                <w:color w:val="800000"/>
                <w:sz w:val="18"/>
              </w:rPr>
              <w:t>serie_cod</w:t>
            </w:r>
          </w:p>
        </w:tc>
        <w:tc>
          <w:tcPr>
            <w:tcW w:type="dxa" w:w="2880"/>
            <w:shd w:fill="D6E4F0"/>
          </w:tcPr>
          <w:p>
            <w:r>
              <w:rPr>
                <w:sz w:val="18"/>
              </w:rPr>
            </w:r>
            <w:r>
              <w:rPr>
                <w:rFonts w:ascii="Consolas" w:hAnsi="Consolas"/>
                <w:color w:val="800000"/>
                <w:sz w:val="18"/>
              </w:rPr>
              <w:t>serie_cod</w:t>
            </w:r>
          </w:p>
        </w:tc>
        <w:tc>
          <w:tcPr>
            <w:tcW w:type="dxa" w:w="2880"/>
            <w:shd w:fill="D6E4F0"/>
          </w:tcPr>
          <w:p>
            <w:r>
              <w:rPr>
                <w:sz w:val="18"/>
              </w:rPr>
            </w:r>
            <w:r>
              <w:rPr>
                <w:sz w:val="18"/>
              </w:rPr>
              <w:t>Kept as-is</w:t>
            </w:r>
          </w:p>
        </w:tc>
      </w:tr>
      <w:tr>
        <w:tc>
          <w:tcPr>
            <w:tcW w:type="dxa" w:w="1728"/>
          </w:tcPr>
          <w:p>
            <w:r>
              <w:rPr>
                <w:sz w:val="18"/>
              </w:rPr>
            </w:r>
            <w:r>
              <w:rPr>
                <w:rFonts w:ascii="Consolas" w:hAnsi="Consolas"/>
                <w:color w:val="800000"/>
                <w:sz w:val="18"/>
              </w:rPr>
              <w:t>Nombre</w:t>
            </w:r>
          </w:p>
        </w:tc>
        <w:tc>
          <w:tcPr>
            <w:tcW w:type="dxa" w:w="1872"/>
          </w:tcPr>
          <w:p>
            <w:r>
              <w:rPr>
                <w:sz w:val="18"/>
              </w:rPr>
            </w:r>
            <w:r>
              <w:rPr>
                <w:rFonts w:ascii="Consolas" w:hAnsi="Consolas"/>
                <w:color w:val="800000"/>
                <w:sz w:val="18"/>
              </w:rPr>
              <w:t>serie_nombre</w:t>
            </w:r>
          </w:p>
        </w:tc>
        <w:tc>
          <w:tcPr>
            <w:tcW w:type="dxa" w:w="2880"/>
          </w:tcPr>
          <w:p>
            <w:r>
              <w:rPr>
                <w:sz w:val="18"/>
              </w:rPr>
            </w:r>
            <w:r>
              <w:rPr>
                <w:sz w:val="18"/>
              </w:rPr>
              <w:t xml:space="preserve">Dropped (parsed into </w:t>
            </w:r>
            <w:r>
              <w:rPr>
                <w:rFonts w:ascii="Consolas" w:hAnsi="Consolas"/>
                <w:color w:val="800000"/>
                <w:sz w:val="18"/>
              </w:rPr>
              <w:t>provincia</w:t>
            </w:r>
            <w:r>
              <w:rPr>
                <w:sz w:val="18"/>
              </w:rPr>
              <w:t xml:space="preserve">, </w:t>
            </w:r>
            <w:r>
              <w:rPr>
                <w:rFonts w:ascii="Consolas" w:hAnsi="Consolas"/>
                <w:color w:val="800000"/>
                <w:sz w:val="18"/>
              </w:rPr>
              <w:t>sexo</w:t>
            </w:r>
            <w:r>
              <w:rPr>
                <w:sz w:val="18"/>
              </w:rPr>
              <w:t xml:space="preserve">, </w:t>
            </w:r>
            <w:r>
              <w:rPr>
                <w:rFonts w:ascii="Consolas" w:hAnsi="Consolas"/>
                <w:color w:val="800000"/>
                <w:sz w:val="18"/>
              </w:rPr>
              <w:t>actividad</w:t>
            </w:r>
            <w:r>
              <w:rPr>
                <w:sz w:val="18"/>
              </w:rPr>
              <w:t>)</w:t>
            </w:r>
          </w:p>
        </w:tc>
        <w:tc>
          <w:tcPr>
            <w:tcW w:type="dxa" w:w="2880"/>
          </w:tcPr>
          <w:p>
            <w:r>
              <w:rPr>
                <w:sz w:val="18"/>
              </w:rPr>
            </w:r>
            <w:r>
              <w:rPr>
                <w:sz w:val="18"/>
              </w:rPr>
              <w:t>Table-specific regex parsers</w:t>
            </w:r>
          </w:p>
        </w:tc>
      </w:tr>
      <w:tr>
        <w:tc>
          <w:tcPr>
            <w:tcW w:type="dxa" w:w="1728"/>
            <w:shd w:fill="D6E4F0"/>
          </w:tcPr>
          <w:p>
            <w:r>
              <w:rPr>
                <w:sz w:val="18"/>
              </w:rPr>
            </w:r>
            <w:r>
              <w:rPr>
                <w:rFonts w:ascii="Consolas" w:hAnsi="Consolas"/>
                <w:color w:val="800000"/>
                <w:sz w:val="18"/>
              </w:rPr>
              <w:t>FK_Unidad</w:t>
            </w:r>
          </w:p>
        </w:tc>
        <w:tc>
          <w:tcPr>
            <w:tcW w:type="dxa" w:w="1872"/>
            <w:shd w:fill="D6E4F0"/>
          </w:tcPr>
          <w:p>
            <w:r>
              <w:rPr>
                <w:sz w:val="18"/>
              </w:rPr>
            </w:r>
            <w:r>
              <w:rPr>
                <w:sz w:val="18"/>
              </w:rPr>
              <w:t>Not extracted</w:t>
            </w:r>
          </w:p>
        </w:tc>
        <w:tc>
          <w:tcPr>
            <w:tcW w:type="dxa" w:w="2880"/>
            <w:shd w:fill="D6E4F0"/>
          </w:tcPr>
          <w:p>
            <w:r>
              <w:rPr>
                <w:sz w:val="18"/>
              </w:rPr>
            </w:r>
            <w:r>
              <w:rPr>
                <w:sz w:val="18"/>
              </w:rPr>
              <w:t>—</w:t>
            </w:r>
          </w:p>
        </w:tc>
        <w:tc>
          <w:tcPr>
            <w:tcW w:type="dxa" w:w="2880"/>
            <w:shd w:fill="D6E4F0"/>
          </w:tcPr>
          <w:p>
            <w:r>
              <w:rPr>
                <w:sz w:val="18"/>
              </w:rPr>
            </w:r>
            <w:r>
              <w:rPr>
                <w:sz w:val="18"/>
              </w:rPr>
              <w:t>Implicit in context</w:t>
            </w:r>
          </w:p>
        </w:tc>
      </w:tr>
      <w:tr>
        <w:tc>
          <w:tcPr>
            <w:tcW w:type="dxa" w:w="1728"/>
          </w:tcPr>
          <w:p>
            <w:r>
              <w:rPr>
                <w:sz w:val="18"/>
              </w:rPr>
            </w:r>
            <w:r>
              <w:rPr>
                <w:rFonts w:ascii="Consolas" w:hAnsi="Consolas"/>
                <w:color w:val="800000"/>
                <w:sz w:val="18"/>
              </w:rPr>
              <w:t>FK_Escala</w:t>
            </w:r>
          </w:p>
        </w:tc>
        <w:tc>
          <w:tcPr>
            <w:tcW w:type="dxa" w:w="1872"/>
          </w:tcPr>
          <w:p>
            <w:r>
              <w:rPr>
                <w:sz w:val="18"/>
              </w:rPr>
            </w:r>
            <w:r>
              <w:rPr>
                <w:sz w:val="18"/>
              </w:rPr>
              <w:t>Not extracted</w:t>
            </w:r>
          </w:p>
        </w:tc>
        <w:tc>
          <w:tcPr>
            <w:tcW w:type="dxa" w:w="2880"/>
          </w:tcPr>
          <w:p>
            <w:r>
              <w:rPr>
                <w:sz w:val="18"/>
              </w:rPr>
            </w:r>
            <w:r>
              <w:rPr>
                <w:sz w:val="18"/>
              </w:rPr>
              <w:t>—</w:t>
            </w:r>
          </w:p>
        </w:tc>
        <w:tc>
          <w:tcPr>
            <w:tcW w:type="dxa" w:w="2880"/>
          </w:tcPr>
          <w:p>
            <w:r>
              <w:rPr>
                <w:sz w:val="18"/>
              </w:rPr>
            </w:r>
            <w:r>
              <w:rPr>
                <w:sz w:val="18"/>
              </w:rPr>
              <w:t>Implicit in context</w:t>
            </w:r>
          </w:p>
        </w:tc>
      </w:tr>
      <w:tr>
        <w:tc>
          <w:tcPr>
            <w:tcW w:type="dxa" w:w="1728"/>
            <w:shd w:fill="D6E4F0"/>
          </w:tcPr>
          <w:p>
            <w:r>
              <w:rPr>
                <w:sz w:val="18"/>
              </w:rPr>
            </w:r>
            <w:r>
              <w:rPr>
                <w:rFonts w:ascii="Consolas" w:hAnsi="Consolas"/>
                <w:color w:val="800000"/>
                <w:sz w:val="18"/>
              </w:rPr>
              <w:t>Fecha</w:t>
            </w:r>
          </w:p>
        </w:tc>
        <w:tc>
          <w:tcPr>
            <w:tcW w:type="dxa" w:w="1872"/>
            <w:shd w:fill="D6E4F0"/>
          </w:tcPr>
          <w:p>
            <w:r>
              <w:rPr>
                <w:sz w:val="18"/>
              </w:rPr>
            </w:r>
            <w:r>
              <w:rPr>
                <w:rFonts w:ascii="Consolas" w:hAnsi="Consolas"/>
                <w:color w:val="800000"/>
                <w:sz w:val="18"/>
              </w:rPr>
              <w:t>fecha_ms</w:t>
            </w:r>
          </w:p>
        </w:tc>
        <w:tc>
          <w:tcPr>
            <w:tcW w:type="dxa" w:w="2880"/>
            <w:shd w:fill="D6E4F0"/>
          </w:tcPr>
          <w:p>
            <w:r>
              <w:rPr>
                <w:sz w:val="18"/>
              </w:rPr>
            </w:r>
            <w:r>
              <w:rPr>
                <w:rFonts w:ascii="Consolas" w:hAnsi="Consolas"/>
                <w:color w:val="800000"/>
                <w:sz w:val="18"/>
              </w:rPr>
              <w:t>fecha</w:t>
            </w:r>
            <w:r>
              <w:rPr>
                <w:sz w:val="18"/>
              </w:rPr>
              <w:t xml:space="preserve"> (</w:t>
            </w:r>
            <w:r>
              <w:rPr>
                <w:rFonts w:ascii="Consolas" w:hAnsi="Consolas"/>
                <w:color w:val="800000"/>
                <w:sz w:val="18"/>
              </w:rPr>
              <w:t>datetime64</w:t>
            </w:r>
            <w:r>
              <w:rPr>
                <w:sz w:val="18"/>
              </w:rPr>
              <w:t>)</w:t>
            </w:r>
          </w:p>
        </w:tc>
        <w:tc>
          <w:tcPr>
            <w:tcW w:type="dxa" w:w="2880"/>
            <w:shd w:fill="D6E4F0"/>
          </w:tcPr>
          <w:p>
            <w:r>
              <w:rPr>
                <w:sz w:val="18"/>
              </w:rPr>
            </w:r>
            <w:r>
              <w:rPr>
                <w:rFonts w:ascii="Consolas" w:hAnsi="Consolas"/>
                <w:color w:val="800000"/>
                <w:sz w:val="18"/>
              </w:rPr>
              <w:t>parse_fecha()</w:t>
            </w:r>
            <w:r>
              <w:rPr>
                <w:sz w:val="18"/>
              </w:rPr>
              <w:t xml:space="preserve"> — ms timestamp → datetime</w:t>
            </w:r>
          </w:p>
        </w:tc>
      </w:tr>
      <w:tr>
        <w:tc>
          <w:tcPr>
            <w:tcW w:type="dxa" w:w="1728"/>
          </w:tcPr>
          <w:p>
            <w:r>
              <w:rPr>
                <w:sz w:val="18"/>
              </w:rPr>
            </w:r>
            <w:r>
              <w:rPr>
                <w:rFonts w:ascii="Consolas" w:hAnsi="Consolas"/>
                <w:color w:val="800000"/>
                <w:sz w:val="18"/>
              </w:rPr>
              <w:t>FK_TipoDato</w:t>
            </w:r>
          </w:p>
        </w:tc>
        <w:tc>
          <w:tcPr>
            <w:tcW w:type="dxa" w:w="1872"/>
          </w:tcPr>
          <w:p>
            <w:r>
              <w:rPr>
                <w:sz w:val="18"/>
              </w:rPr>
            </w:r>
            <w:r>
              <w:rPr>
                <w:sz w:val="18"/>
              </w:rPr>
              <w:t>Not extracted</w:t>
            </w:r>
          </w:p>
        </w:tc>
        <w:tc>
          <w:tcPr>
            <w:tcW w:type="dxa" w:w="2880"/>
          </w:tcPr>
          <w:p>
            <w:r>
              <w:rPr>
                <w:sz w:val="18"/>
              </w:rPr>
            </w:r>
            <w:r>
              <w:rPr>
                <w:sz w:val="18"/>
              </w:rPr>
              <w:t>—</w:t>
            </w:r>
          </w:p>
        </w:tc>
        <w:tc>
          <w:tcPr>
            <w:tcW w:type="dxa" w:w="2880"/>
          </w:tcPr>
          <w:p>
            <w:r>
              <w:rPr>
                <w:sz w:val="18"/>
              </w:rPr>
            </w:r>
            <w:r>
              <w:rPr>
                <w:sz w:val="18"/>
              </w:rPr>
              <w:t>Always 1 in EPA</w:t>
            </w:r>
          </w:p>
        </w:tc>
      </w:tr>
      <w:tr>
        <w:tc>
          <w:tcPr>
            <w:tcW w:type="dxa" w:w="1728"/>
            <w:shd w:fill="D6E4F0"/>
          </w:tcPr>
          <w:p>
            <w:r>
              <w:rPr>
                <w:sz w:val="18"/>
              </w:rPr>
            </w:r>
            <w:r>
              <w:rPr>
                <w:rFonts w:ascii="Consolas" w:hAnsi="Consolas"/>
                <w:color w:val="800000"/>
                <w:sz w:val="18"/>
              </w:rPr>
              <w:t>FK_Periodo</w:t>
            </w:r>
          </w:p>
        </w:tc>
        <w:tc>
          <w:tcPr>
            <w:tcW w:type="dxa" w:w="1872"/>
            <w:shd w:fill="D6E4F0"/>
          </w:tcPr>
          <w:p>
            <w:r>
              <w:rPr>
                <w:sz w:val="18"/>
              </w:rPr>
            </w:r>
            <w:r>
              <w:rPr>
                <w:rFonts w:ascii="Consolas" w:hAnsi="Consolas"/>
                <w:color w:val="800000"/>
                <w:sz w:val="18"/>
              </w:rPr>
              <w:t>periodo_id</w:t>
            </w:r>
          </w:p>
        </w:tc>
        <w:tc>
          <w:tcPr>
            <w:tcW w:type="dxa" w:w="2880"/>
            <w:shd w:fill="D6E4F0"/>
          </w:tcPr>
          <w:p>
            <w:r>
              <w:rPr>
                <w:sz w:val="18"/>
              </w:rPr>
            </w:r>
            <w:r>
              <w:rPr>
                <w:rFonts w:ascii="Consolas" w:hAnsi="Consolas"/>
                <w:color w:val="800000"/>
                <w:sz w:val="18"/>
              </w:rPr>
              <w:t>periodo_id</w:t>
            </w:r>
            <w:r>
              <w:rPr>
                <w:sz w:val="18"/>
              </w:rPr>
              <w:t xml:space="preserve"> + </w:t>
            </w:r>
            <w:r>
              <w:rPr>
                <w:rFonts w:ascii="Consolas" w:hAnsi="Consolas"/>
                <w:color w:val="800000"/>
                <w:sz w:val="18"/>
              </w:rPr>
              <w:t>trimestre_label</w:t>
            </w:r>
          </w:p>
        </w:tc>
        <w:tc>
          <w:tcPr>
            <w:tcW w:type="dxa" w:w="2880"/>
            <w:shd w:fill="D6E4F0"/>
          </w:tcPr>
          <w:p>
            <w:r>
              <w:rPr>
                <w:sz w:val="18"/>
              </w:rPr>
            </w:r>
            <w:r>
              <w:rPr>
                <w:rFonts w:ascii="Consolas" w:hAnsi="Consolas"/>
                <w:color w:val="800000"/>
                <w:sz w:val="18"/>
              </w:rPr>
              <w:t>PERIODO_MAP</w:t>
            </w:r>
            <w:r>
              <w:rPr>
                <w:sz w:val="18"/>
              </w:rPr>
              <w:t>: 19→T4, 20→T1, 21→T2, 22→T3</w:t>
            </w:r>
          </w:p>
        </w:tc>
      </w:tr>
      <w:tr>
        <w:tc>
          <w:tcPr>
            <w:tcW w:type="dxa" w:w="1728"/>
          </w:tcPr>
          <w:p>
            <w:r>
              <w:rPr>
                <w:sz w:val="18"/>
              </w:rPr>
            </w:r>
            <w:r>
              <w:rPr>
                <w:rFonts w:ascii="Consolas" w:hAnsi="Consolas"/>
                <w:color w:val="800000"/>
                <w:sz w:val="18"/>
              </w:rPr>
              <w:t>Anyo</w:t>
            </w:r>
          </w:p>
        </w:tc>
        <w:tc>
          <w:tcPr>
            <w:tcW w:type="dxa" w:w="1872"/>
          </w:tcPr>
          <w:p>
            <w:r>
              <w:rPr>
                <w:sz w:val="18"/>
              </w:rPr>
            </w:r>
            <w:r>
              <w:rPr>
                <w:rFonts w:ascii="Consolas" w:hAnsi="Consolas"/>
                <w:color w:val="800000"/>
                <w:sz w:val="18"/>
              </w:rPr>
              <w:t>anyo</w:t>
            </w:r>
          </w:p>
        </w:tc>
        <w:tc>
          <w:tcPr>
            <w:tcW w:type="dxa" w:w="2880"/>
          </w:tcPr>
          <w:p>
            <w:r>
              <w:rPr>
                <w:sz w:val="18"/>
              </w:rPr>
            </w:r>
            <w:r>
              <w:rPr>
                <w:rFonts w:ascii="Consolas" w:hAnsi="Consolas"/>
                <w:color w:val="800000"/>
                <w:sz w:val="18"/>
              </w:rPr>
              <w:t>anyo</w:t>
            </w:r>
            <w:r>
              <w:rPr>
                <w:sz w:val="18"/>
              </w:rPr>
              <w:t xml:space="preserve"> + </w:t>
            </w:r>
            <w:r>
              <w:rPr>
                <w:rFonts w:ascii="Consolas" w:hAnsi="Consolas"/>
                <w:color w:val="800000"/>
                <w:sz w:val="18"/>
              </w:rPr>
              <w:t>year</w:t>
            </w:r>
          </w:p>
        </w:tc>
        <w:tc>
          <w:tcPr>
            <w:tcW w:type="dxa" w:w="2880"/>
          </w:tcPr>
          <w:p>
            <w:r>
              <w:rPr>
                <w:sz w:val="18"/>
              </w:rPr>
            </w:r>
            <w:r>
              <w:rPr>
                <w:sz w:val="18"/>
              </w:rPr>
              <w:t>Kept; also extracted as feature</w:t>
            </w:r>
          </w:p>
        </w:tc>
      </w:tr>
      <w:tr>
        <w:tc>
          <w:tcPr>
            <w:tcW w:type="dxa" w:w="1728"/>
            <w:shd w:fill="D6E4F0"/>
          </w:tcPr>
          <w:p>
            <w:r>
              <w:rPr>
                <w:sz w:val="18"/>
              </w:rPr>
            </w:r>
            <w:r>
              <w:rPr>
                <w:rFonts w:ascii="Consolas" w:hAnsi="Consolas"/>
                <w:color w:val="800000"/>
                <w:sz w:val="18"/>
              </w:rPr>
              <w:t>Valor</w:t>
            </w:r>
          </w:p>
        </w:tc>
        <w:tc>
          <w:tcPr>
            <w:tcW w:type="dxa" w:w="1872"/>
            <w:shd w:fill="D6E4F0"/>
          </w:tcPr>
          <w:p>
            <w:r>
              <w:rPr>
                <w:sz w:val="18"/>
              </w:rPr>
            </w:r>
            <w:r>
              <w:rPr>
                <w:rFonts w:ascii="Consolas" w:hAnsi="Consolas"/>
                <w:color w:val="800000"/>
                <w:sz w:val="18"/>
              </w:rPr>
              <w:t>valor</w:t>
            </w:r>
          </w:p>
        </w:tc>
        <w:tc>
          <w:tcPr>
            <w:tcW w:type="dxa" w:w="2880"/>
            <w:shd w:fill="D6E4F0"/>
          </w:tcPr>
          <w:p>
            <w:r>
              <w:rPr>
                <w:sz w:val="18"/>
              </w:rPr>
            </w:r>
            <w:r>
              <w:rPr>
                <w:rFonts w:ascii="Consolas" w:hAnsi="Consolas"/>
                <w:color w:val="800000"/>
                <w:sz w:val="18"/>
              </w:rPr>
              <w:t>valor</w:t>
            </w:r>
            <w:r>
              <w:rPr>
                <w:sz w:val="18"/>
              </w:rPr>
              <w:t xml:space="preserve"> (float64)</w:t>
            </w:r>
          </w:p>
        </w:tc>
        <w:tc>
          <w:tcPr>
            <w:tcW w:type="dxa" w:w="2880"/>
            <w:shd w:fill="D6E4F0"/>
          </w:tcPr>
          <w:p>
            <w:r>
              <w:rPr>
                <w:sz w:val="18"/>
              </w:rPr>
            </w:r>
            <w:r>
              <w:rPr>
                <w:sz w:val="18"/>
              </w:rPr>
              <w:t xml:space="preserve">Comma→dot + </w:t>
            </w:r>
            <w:r>
              <w:rPr>
                <w:rFonts w:ascii="Consolas" w:hAnsi="Consolas"/>
                <w:color w:val="800000"/>
                <w:sz w:val="18"/>
              </w:rPr>
              <w:t>pd.to_numeric</w:t>
            </w:r>
          </w:p>
        </w:tc>
      </w:tr>
      <w:tr>
        <w:tc>
          <w:tcPr>
            <w:tcW w:type="dxa" w:w="1728"/>
          </w:tcPr>
          <w:p>
            <w:r>
              <w:rPr>
                <w:sz w:val="18"/>
              </w:rPr>
            </w:r>
            <w:r>
              <w:rPr>
                <w:rFonts w:ascii="Consolas" w:hAnsi="Consolas"/>
                <w:color w:val="800000"/>
                <w:sz w:val="18"/>
              </w:rPr>
              <w:t>Secreto</w:t>
            </w:r>
          </w:p>
        </w:tc>
        <w:tc>
          <w:tcPr>
            <w:tcW w:type="dxa" w:w="1872"/>
          </w:tcPr>
          <w:p>
            <w:r>
              <w:rPr>
                <w:sz w:val="18"/>
              </w:rPr>
            </w:r>
            <w:r>
              <w:rPr>
                <w:rFonts w:ascii="Consolas" w:hAnsi="Consolas"/>
                <w:color w:val="800000"/>
                <w:sz w:val="18"/>
              </w:rPr>
              <w:t>secreto</w:t>
            </w:r>
          </w:p>
        </w:tc>
        <w:tc>
          <w:tcPr>
            <w:tcW w:type="dxa" w:w="2880"/>
          </w:tcPr>
          <w:p>
            <w:r>
              <w:rPr>
                <w:sz w:val="18"/>
              </w:rPr>
            </w:r>
            <w:r>
              <w:rPr>
                <w:sz w:val="18"/>
              </w:rPr>
              <w:t>Dropped</w:t>
            </w:r>
          </w:p>
        </w:tc>
        <w:tc>
          <w:tcPr>
            <w:tcW w:type="dxa" w:w="2880"/>
          </w:tcPr>
          <w:p>
            <w:r>
              <w:rPr>
                <w:sz w:val="18"/>
              </w:rPr>
            </w:r>
            <w:r>
              <w:rPr>
                <w:sz w:val="18"/>
              </w:rPr>
              <w:t>Not needed for analysis</w:t>
            </w:r>
          </w:p>
        </w:tc>
      </w:tr>
    </w:tbl>
    <w:p>
      <w:pPr>
        <w:pStyle w:val="Heading1"/>
      </w:pPr>
      <w:r>
        <w:t>3. Research Questions</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2F5496"/>
          </w:tcPr>
          <w:p>
            <w:pPr>
              <w:jc w:val="center"/>
            </w:pPr>
            <w:r/>
            <w:r>
              <w:rPr>
                <w:b/>
                <w:color w:val="FFFFFF"/>
                <w:sz w:val="18"/>
              </w:rPr>
              <w:t>#</w:t>
            </w:r>
          </w:p>
        </w:tc>
        <w:tc>
          <w:tcPr>
            <w:tcW w:type="dxa" w:w="7200"/>
            <w:shd w:fill="2F5496"/>
          </w:tcPr>
          <w:p>
            <w:pPr>
              <w:jc w:val="center"/>
            </w:pPr>
            <w:r/>
            <w:r>
              <w:rPr>
                <w:b/>
                <w:color w:val="FFFFFF"/>
                <w:sz w:val="18"/>
              </w:rPr>
              <w:t>Question</w:t>
            </w:r>
          </w:p>
        </w:tc>
        <w:tc>
          <w:tcPr>
            <w:tcW w:type="dxa" w:w="1440"/>
            <w:shd w:fill="2F5496"/>
          </w:tcPr>
          <w:p>
            <w:pPr>
              <w:jc w:val="center"/>
            </w:pPr>
            <w:r/>
            <w:r>
              <w:rPr>
                <w:b/>
                <w:color w:val="FFFFFF"/>
                <w:sz w:val="18"/>
              </w:rPr>
              <w:t>Chart</w:t>
            </w:r>
          </w:p>
        </w:tc>
      </w:tr>
      <w:tr>
        <w:tc>
          <w:tcPr>
            <w:tcW w:type="dxa" w:w="720"/>
            <w:shd w:fill="D6E4F0"/>
          </w:tcPr>
          <w:p>
            <w:r>
              <w:rPr>
                <w:sz w:val="18"/>
              </w:rPr>
            </w:r>
            <w:r>
              <w:rPr>
                <w:sz w:val="18"/>
              </w:rPr>
              <w:t>Q1</w:t>
            </w:r>
          </w:p>
        </w:tc>
        <w:tc>
          <w:tcPr>
            <w:tcW w:type="dxa" w:w="7200"/>
            <w:shd w:fill="D6E4F0"/>
          </w:tcPr>
          <w:p>
            <w:r>
              <w:rPr>
                <w:sz w:val="18"/>
              </w:rPr>
            </w:r>
            <w:r>
              <w:rPr>
                <w:sz w:val="18"/>
              </w:rPr>
              <w:t>Which provinces have the highest and lowest unemployment rates? Has the ranking changed over 24 years?</w:t>
            </w:r>
          </w:p>
        </w:tc>
        <w:tc>
          <w:tcPr>
            <w:tcW w:type="dxa" w:w="1440"/>
            <w:shd w:fill="D6E4F0"/>
          </w:tcPr>
          <w:p>
            <w:r>
              <w:rPr>
                <w:sz w:val="18"/>
              </w:rPr>
            </w:r>
            <w:r>
              <w:rPr>
                <w:sz w:val="18"/>
              </w:rPr>
              <w:t>1, 6</w:t>
            </w:r>
          </w:p>
        </w:tc>
      </w:tr>
      <w:tr>
        <w:tc>
          <w:tcPr>
            <w:tcW w:type="dxa" w:w="720"/>
          </w:tcPr>
          <w:p>
            <w:r>
              <w:rPr>
                <w:sz w:val="18"/>
              </w:rPr>
            </w:r>
            <w:r>
              <w:rPr>
                <w:sz w:val="18"/>
              </w:rPr>
              <w:t>Q2</w:t>
            </w:r>
          </w:p>
        </w:tc>
        <w:tc>
          <w:tcPr>
            <w:tcW w:type="dxa" w:w="7200"/>
          </w:tcPr>
          <w:p>
            <w:r>
              <w:rPr>
                <w:sz w:val="18"/>
              </w:rPr>
            </w:r>
            <w:r>
              <w:rPr>
                <w:sz w:val="18"/>
              </w:rPr>
              <w:t>Is there a gender gap in activity, employment, and unemployment rates?</w:t>
            </w:r>
          </w:p>
        </w:tc>
        <w:tc>
          <w:tcPr>
            <w:tcW w:type="dxa" w:w="1440"/>
          </w:tcPr>
          <w:p>
            <w:r>
              <w:rPr>
                <w:sz w:val="18"/>
              </w:rPr>
            </w:r>
            <w:r>
              <w:rPr>
                <w:sz w:val="18"/>
              </w:rPr>
              <w:t>2</w:t>
            </w:r>
          </w:p>
        </w:tc>
      </w:tr>
      <w:tr>
        <w:tc>
          <w:tcPr>
            <w:tcW w:type="dxa" w:w="720"/>
            <w:shd w:fill="D6E4F0"/>
          </w:tcPr>
          <w:p>
            <w:r>
              <w:rPr>
                <w:sz w:val="18"/>
              </w:rPr>
            </w:r>
            <w:r>
              <w:rPr>
                <w:sz w:val="18"/>
              </w:rPr>
              <w:t>Q3</w:t>
            </w:r>
          </w:p>
        </w:tc>
        <w:tc>
          <w:tcPr>
            <w:tcW w:type="dxa" w:w="7200"/>
            <w:shd w:fill="D6E4F0"/>
          </w:tcPr>
          <w:p>
            <w:r>
              <w:rPr>
                <w:sz w:val="18"/>
              </w:rPr>
            </w:r>
            <w:r>
              <w:rPr>
                <w:sz w:val="18"/>
              </w:rPr>
              <w:t>How is employment distributed by economic sector and how does it vary geographically?</w:t>
            </w:r>
          </w:p>
        </w:tc>
        <w:tc>
          <w:tcPr>
            <w:tcW w:type="dxa" w:w="1440"/>
            <w:shd w:fill="D6E4F0"/>
          </w:tcPr>
          <w:p>
            <w:r>
              <w:rPr>
                <w:sz w:val="18"/>
              </w:rPr>
            </w:r>
            <w:r>
              <w:rPr>
                <w:sz w:val="18"/>
              </w:rPr>
              <w:t>3</w:t>
            </w:r>
          </w:p>
        </w:tc>
      </w:tr>
      <w:tr>
        <w:tc>
          <w:tcPr>
            <w:tcW w:type="dxa" w:w="720"/>
          </w:tcPr>
          <w:p>
            <w:r>
              <w:rPr>
                <w:sz w:val="18"/>
              </w:rPr>
            </w:r>
            <w:r>
              <w:rPr>
                <w:sz w:val="18"/>
              </w:rPr>
              <w:t>Q4</w:t>
            </w:r>
          </w:p>
        </w:tc>
        <w:tc>
          <w:tcPr>
            <w:tcW w:type="dxa" w:w="7200"/>
          </w:tcPr>
          <w:p>
            <w:r>
              <w:rPr>
                <w:sz w:val="18"/>
              </w:rPr>
            </w:r>
            <w:r>
              <w:rPr>
                <w:sz w:val="18"/>
              </w:rPr>
              <w:t>How has total employment evolved over the period?</w:t>
            </w:r>
          </w:p>
        </w:tc>
        <w:tc>
          <w:tcPr>
            <w:tcW w:type="dxa" w:w="1440"/>
          </w:tcPr>
          <w:p>
            <w:r>
              <w:rPr>
                <w:sz w:val="18"/>
              </w:rPr>
            </w:r>
            <w:r>
              <w:rPr>
                <w:sz w:val="18"/>
              </w:rPr>
              <w:t>4, 5</w:t>
            </w:r>
          </w:p>
        </w:tc>
      </w:tr>
      <w:tr>
        <w:tc>
          <w:tcPr>
            <w:tcW w:type="dxa" w:w="720"/>
            <w:shd w:fill="D6E4F0"/>
          </w:tcPr>
          <w:p>
            <w:r>
              <w:rPr>
                <w:sz w:val="18"/>
              </w:rPr>
            </w:r>
            <w:r>
              <w:rPr>
                <w:sz w:val="18"/>
              </w:rPr>
              <w:t>Q5</w:t>
            </w:r>
          </w:p>
        </w:tc>
        <w:tc>
          <w:tcPr>
            <w:tcW w:type="dxa" w:w="7200"/>
            <w:shd w:fill="D6E4F0"/>
          </w:tcPr>
          <w:p>
            <w:r>
              <w:rPr>
                <w:sz w:val="18"/>
              </w:rPr>
            </w:r>
            <w:r>
              <w:rPr>
                <w:sz w:val="18"/>
              </w:rPr>
              <w:t>Is there seasonality in employment/unemployment (quarterly)?</w:t>
            </w:r>
          </w:p>
        </w:tc>
        <w:tc>
          <w:tcPr>
            <w:tcW w:type="dxa" w:w="1440"/>
            <w:shd w:fill="D6E4F0"/>
          </w:tcPr>
          <w:p>
            <w:r>
              <w:rPr>
                <w:sz w:val="18"/>
              </w:rPr>
            </w:r>
            <w:r>
              <w:rPr>
                <w:sz w:val="18"/>
              </w:rPr>
              <w:t>6</w:t>
            </w:r>
          </w:p>
        </w:tc>
      </w:tr>
      <w:tr>
        <w:tc>
          <w:tcPr>
            <w:tcW w:type="dxa" w:w="720"/>
          </w:tcPr>
          <w:p>
            <w:r>
              <w:rPr>
                <w:sz w:val="18"/>
              </w:rPr>
            </w:r>
            <w:r>
              <w:rPr>
                <w:sz w:val="18"/>
              </w:rPr>
              <w:t>Q6</w:t>
            </w:r>
          </w:p>
        </w:tc>
        <w:tc>
          <w:tcPr>
            <w:tcW w:type="dxa" w:w="7200"/>
          </w:tcPr>
          <w:p>
            <w:r>
              <w:rPr>
                <w:sz w:val="18"/>
              </w:rPr>
            </w:r>
            <w:r>
              <w:rPr>
                <w:sz w:val="18"/>
              </w:rPr>
              <w:t>How does the unemployment rate vary by age group? Are there differences by sex?</w:t>
            </w:r>
          </w:p>
        </w:tc>
        <w:tc>
          <w:tcPr>
            <w:tcW w:type="dxa" w:w="1440"/>
          </w:tcPr>
          <w:p>
            <w:r>
              <w:rPr>
                <w:sz w:val="18"/>
              </w:rPr>
            </w:r>
            <w:r>
              <w:rPr>
                <w:sz w:val="18"/>
              </w:rPr>
              <w:t>7</w:t>
            </w:r>
          </w:p>
        </w:tc>
      </w:tr>
      <w:tr>
        <w:tc>
          <w:tcPr>
            <w:tcW w:type="dxa" w:w="720"/>
            <w:shd w:fill="D6E4F0"/>
          </w:tcPr>
          <w:p>
            <w:r>
              <w:rPr>
                <w:sz w:val="18"/>
              </w:rPr>
            </w:r>
            <w:r>
              <w:rPr>
                <w:sz w:val="18"/>
              </w:rPr>
              <w:t>Q7</w:t>
            </w:r>
          </w:p>
        </w:tc>
        <w:tc>
          <w:tcPr>
            <w:tcW w:type="dxa" w:w="7200"/>
            <w:shd w:fill="D6E4F0"/>
          </w:tcPr>
          <w:p>
            <w:r>
              <w:rPr>
                <w:sz w:val="18"/>
              </w:rPr>
            </w:r>
            <w:r>
              <w:rPr>
                <w:sz w:val="18"/>
              </w:rPr>
              <w:t>How has youth unemployment (16–19 and 20–24) evolved compared to the total?</w:t>
            </w:r>
          </w:p>
        </w:tc>
        <w:tc>
          <w:tcPr>
            <w:tcW w:type="dxa" w:w="1440"/>
            <w:shd w:fill="D6E4F0"/>
          </w:tcPr>
          <w:p>
            <w:r>
              <w:rPr>
                <w:sz w:val="18"/>
              </w:rPr>
            </w:r>
            <w:r>
              <w:rPr>
                <w:sz w:val="18"/>
              </w:rPr>
              <w:t>8</w:t>
            </w:r>
          </w:p>
        </w:tc>
      </w:tr>
      <w:tr>
        <w:tc>
          <w:tcPr>
            <w:tcW w:type="dxa" w:w="720"/>
          </w:tcPr>
          <w:p>
            <w:r>
              <w:rPr>
                <w:sz w:val="18"/>
              </w:rPr>
            </w:r>
            <w:r>
              <w:rPr>
                <w:sz w:val="18"/>
              </w:rPr>
              <w:t>Q8</w:t>
            </w:r>
          </w:p>
        </w:tc>
        <w:tc>
          <w:tcPr>
            <w:tcW w:type="dxa" w:w="7200"/>
          </w:tcPr>
          <w:p>
            <w:r>
              <w:rPr>
                <w:sz w:val="18"/>
              </w:rPr>
            </w:r>
            <w:r>
              <w:rPr>
                <w:sz w:val="18"/>
              </w:rPr>
              <w:t>Is there an unemployment gap between Spanish and foreign workers?</w:t>
            </w:r>
          </w:p>
        </w:tc>
        <w:tc>
          <w:tcPr>
            <w:tcW w:type="dxa" w:w="1440"/>
          </w:tcPr>
          <w:p>
            <w:r>
              <w:rPr>
                <w:sz w:val="18"/>
              </w:rPr>
            </w:r>
            <w:r>
              <w:rPr>
                <w:sz w:val="18"/>
              </w:rPr>
              <w:t>9</w:t>
            </w:r>
          </w:p>
        </w:tc>
      </w:tr>
    </w:tbl>
    <w:p>
      <w:pPr>
        <w:pStyle w:val="Heading1"/>
      </w:pPr>
      <w:r>
        <w:t>4. Methodology</w:t>
      </w:r>
    </w:p>
    <w:p>
      <w:pPr>
        <w:pStyle w:val="Heading2"/>
      </w:pPr>
      <w:r>
        <w:t>Data Acquisition</w:t>
      </w:r>
    </w:p>
    <w:p>
      <w:pPr/>
      <w:r>
        <w:t xml:space="preserve">Data was retrieved programmatically via HTTP GET requests to the INE REST API using the Python </w:t>
      </w:r>
      <w:r>
        <w:rPr>
          <w:rFonts w:ascii="Consolas" w:hAnsi="Consolas"/>
          <w:color w:val="800000"/>
          <w:sz w:val="18"/>
        </w:rPr>
        <w:t>requests</w:t>
      </w:r>
      <w:r>
        <w:t xml:space="preserve"> library. The </w:t>
      </w:r>
      <w:r>
        <w:rPr>
          <w:rFonts w:ascii="Consolas" w:hAnsi="Consolas"/>
          <w:color w:val="800000"/>
          <w:sz w:val="18"/>
        </w:rPr>
        <w:t>fetch_data.py</w:t>
      </w:r>
      <w:r>
        <w:t xml:space="preserve"> script accepts </w:t>
      </w:r>
      <w:r>
        <w:rPr>
          <w:rFonts w:ascii="Consolas" w:hAnsi="Consolas"/>
          <w:color w:val="800000"/>
          <w:sz w:val="18"/>
        </w:rPr>
        <w:t>--start</w:t>
      </w:r>
      <w:r>
        <w:t xml:space="preserve"> and </w:t>
      </w:r>
      <w:r>
        <w:rPr>
          <w:rFonts w:ascii="Consolas" w:hAnsi="Consolas"/>
          <w:color w:val="800000"/>
          <w:sz w:val="18"/>
        </w:rPr>
        <w:t>--end</w:t>
      </w:r>
      <w:r>
        <w:t xml:space="preserve"> parameters to define the year range. The EPA publishes quarterly data since 2002; if a start year earlier than 2002 is specified, the API silently returns data from 2002 onwards. The script includes automatic retries (3 attempts with exponential backoff) and a 1-second courtesy delay between requests.</w:t>
      </w:r>
    </w:p>
    <w:p>
      <w:pPr>
        <w:pStyle w:val="Heading2"/>
      </w:pPr>
      <w:r>
        <w:t>Data Quality Assessment</w:t>
      </w:r>
    </w:p>
    <w:p>
      <w:pPr/>
      <w:r>
        <w:t xml:space="preserve">An initial quality check on the raw CSV revealed: </w:t>
      </w:r>
      <w:r>
        <w:rPr>
          <w:rFonts w:ascii="Consolas" w:hAnsi="Consolas"/>
          <w:color w:val="800000"/>
          <w:sz w:val="18"/>
        </w:rPr>
        <w:t>valor</w:t>
      </w:r>
      <w:r>
        <w:t xml:space="preserve"> stored as text (not numeric), </w:t>
      </w:r>
      <w:r>
        <w:rPr>
          <w:rFonts w:ascii="Consolas" w:hAnsi="Consolas"/>
          <w:color w:val="800000"/>
          <w:sz w:val="18"/>
        </w:rPr>
        <w:t>fecha</w:t>
      </w:r>
      <w:r>
        <w:t xml:space="preserve"> stored as text, ~3% null values, duplicate rows, mixed casing in series names, and 5 different date formats in the same column. Seven data quality problems are documented in the notebook before cleaning begins.</w:t>
      </w:r>
    </w:p>
    <w:p>
      <w:pPr>
        <w:pStyle w:val="Heading2"/>
      </w:pPr>
      <w:r>
        <w:t>Cleaning Pipeline</w:t>
      </w:r>
    </w:p>
    <w:p>
      <w:pPr/>
      <w:r>
        <w:t>The cleaning pipeline (</w:t>
      </w:r>
      <w:r>
        <w:rPr>
          <w:rFonts w:ascii="Consolas" w:hAnsi="Consolas"/>
          <w:color w:val="800000"/>
          <w:sz w:val="18"/>
        </w:rPr>
        <w:t>src/cleaning.py</w:t>
      </w:r>
      <w:r>
        <w:t>) applies eight sequential transformations:</w:t>
      </w:r>
    </w:p>
    <w:tbl>
      <w:tblPr>
        <w:tblStyle w:val="TableGrid"/>
        <w:tblW w:type="auto" w:w="0"/>
        <w:jc w:val="center"/>
        <w:tblLook w:firstColumn="1" w:firstRow="1" w:lastColumn="0" w:lastRow="0" w:noHBand="0" w:noVBand="1" w:val="04A0"/>
      </w:tblPr>
      <w:tblGrid>
        <w:gridCol w:w="4680"/>
        <w:gridCol w:w="4680"/>
      </w:tblGrid>
      <w:tr>
        <w:tc>
          <w:tcPr>
            <w:tcW w:type="dxa" w:w="864"/>
            <w:shd w:fill="2F5496"/>
          </w:tcPr>
          <w:p>
            <w:pPr>
              <w:jc w:val="center"/>
            </w:pPr>
            <w:r/>
            <w:r>
              <w:rPr>
                <w:b/>
                <w:color w:val="FFFFFF"/>
                <w:sz w:val="18"/>
              </w:rPr>
              <w:t>Step</w:t>
            </w:r>
          </w:p>
        </w:tc>
        <w:tc>
          <w:tcPr>
            <w:tcW w:type="dxa" w:w="8496"/>
            <w:shd w:fill="2F5496"/>
          </w:tcPr>
          <w:p>
            <w:pPr>
              <w:jc w:val="center"/>
            </w:pPr>
            <w:r/>
            <w:r>
              <w:rPr>
                <w:b/>
                <w:color w:val="FFFFFF"/>
                <w:sz w:val="18"/>
              </w:rPr>
              <w:t>Transformation</w:t>
            </w:r>
          </w:p>
        </w:tc>
      </w:tr>
      <w:tr>
        <w:tc>
          <w:tcPr>
            <w:tcW w:type="dxa" w:w="864"/>
            <w:shd w:fill="D6E4F0"/>
          </w:tcPr>
          <w:p>
            <w:r>
              <w:rPr>
                <w:sz w:val="18"/>
              </w:rPr>
            </w:r>
            <w:r>
              <w:rPr>
                <w:sz w:val="18"/>
              </w:rPr>
              <w:t>1</w:t>
            </w:r>
          </w:p>
        </w:tc>
        <w:tc>
          <w:tcPr>
            <w:tcW w:type="dxa" w:w="8496"/>
            <w:shd w:fill="D6E4F0"/>
          </w:tcPr>
          <w:p>
            <w:r>
              <w:rPr>
                <w:sz w:val="18"/>
              </w:rPr>
            </w:r>
            <w:r>
              <w:rPr>
                <w:sz w:val="18"/>
              </w:rPr>
              <w:t>Column standardization — strip, lowercase, underscores</w:t>
            </w:r>
          </w:p>
        </w:tc>
      </w:tr>
      <w:tr>
        <w:tc>
          <w:tcPr>
            <w:tcW w:type="dxa" w:w="864"/>
          </w:tcPr>
          <w:p>
            <w:r>
              <w:rPr>
                <w:sz w:val="18"/>
              </w:rPr>
            </w:r>
            <w:r>
              <w:rPr>
                <w:sz w:val="18"/>
              </w:rPr>
              <w:t>2</w:t>
            </w:r>
          </w:p>
        </w:tc>
        <w:tc>
          <w:tcPr>
            <w:tcW w:type="dxa" w:w="8496"/>
          </w:tcPr>
          <w:p>
            <w:r>
              <w:rPr>
                <w:sz w:val="18"/>
              </w:rPr>
            </w:r>
            <w:r>
              <w:rPr>
                <w:sz w:val="18"/>
              </w:rPr>
              <w:t xml:space="preserve">Numeric parsing — comma→dot + </w:t>
            </w:r>
            <w:r>
              <w:rPr>
                <w:rFonts w:ascii="Consolas" w:hAnsi="Consolas"/>
                <w:color w:val="800000"/>
                <w:sz w:val="18"/>
              </w:rPr>
              <w:t>pd.to_numeric</w:t>
            </w:r>
          </w:p>
        </w:tc>
      </w:tr>
      <w:tr>
        <w:tc>
          <w:tcPr>
            <w:tcW w:type="dxa" w:w="864"/>
            <w:shd w:fill="D6E4F0"/>
          </w:tcPr>
          <w:p>
            <w:r>
              <w:rPr>
                <w:sz w:val="18"/>
              </w:rPr>
            </w:r>
            <w:r>
              <w:rPr>
                <w:sz w:val="18"/>
              </w:rPr>
              <w:t>3</w:t>
            </w:r>
          </w:p>
        </w:tc>
        <w:tc>
          <w:tcPr>
            <w:tcW w:type="dxa" w:w="8496"/>
            <w:shd w:fill="D6E4F0"/>
          </w:tcPr>
          <w:p>
            <w:r>
              <w:rPr>
                <w:sz w:val="18"/>
              </w:rPr>
            </w:r>
            <w:r>
              <w:rPr>
                <w:sz w:val="18"/>
              </w:rPr>
              <w:t>Series name normalization — strip whitespace, lowercase helper</w:t>
            </w:r>
          </w:p>
        </w:tc>
      </w:tr>
      <w:tr>
        <w:tc>
          <w:tcPr>
            <w:tcW w:type="dxa" w:w="864"/>
          </w:tcPr>
          <w:p>
            <w:r>
              <w:rPr>
                <w:sz w:val="18"/>
              </w:rPr>
            </w:r>
            <w:r>
              <w:rPr>
                <w:sz w:val="18"/>
              </w:rPr>
              <w:t>4</w:t>
            </w:r>
          </w:p>
        </w:tc>
        <w:tc>
          <w:tcPr>
            <w:tcW w:type="dxa" w:w="8496"/>
          </w:tcPr>
          <w:p>
            <w:r>
              <w:rPr>
                <w:sz w:val="18"/>
              </w:rPr>
            </w:r>
            <w:r>
              <w:rPr>
                <w:sz w:val="18"/>
              </w:rPr>
              <w:t xml:space="preserve">Structural parsing — extract </w:t>
            </w:r>
            <w:r>
              <w:rPr>
                <w:rFonts w:ascii="Consolas" w:hAnsi="Consolas"/>
                <w:color w:val="800000"/>
                <w:sz w:val="18"/>
              </w:rPr>
              <w:t>provincia</w:t>
            </w:r>
            <w:r>
              <w:rPr>
                <w:sz w:val="18"/>
              </w:rPr>
              <w:t xml:space="preserve">, </w:t>
            </w:r>
            <w:r>
              <w:rPr>
                <w:rFonts w:ascii="Consolas" w:hAnsi="Consolas"/>
                <w:color w:val="800000"/>
                <w:sz w:val="18"/>
              </w:rPr>
              <w:t>sexo</w:t>
            </w:r>
            <w:r>
              <w:rPr>
                <w:sz w:val="18"/>
              </w:rPr>
              <w:t xml:space="preserve">, </w:t>
            </w:r>
            <w:r>
              <w:rPr>
                <w:rFonts w:ascii="Consolas" w:hAnsi="Consolas"/>
                <w:color w:val="800000"/>
                <w:sz w:val="18"/>
              </w:rPr>
              <w:t>actividad</w:t>
            </w:r>
            <w:r>
              <w:rPr>
                <w:sz w:val="18"/>
              </w:rPr>
              <w:t xml:space="preserve"> from packed string</w:t>
            </w:r>
          </w:p>
        </w:tc>
      </w:tr>
      <w:tr>
        <w:tc>
          <w:tcPr>
            <w:tcW w:type="dxa" w:w="864"/>
            <w:shd w:fill="D6E4F0"/>
          </w:tcPr>
          <w:p>
            <w:r>
              <w:rPr>
                <w:sz w:val="18"/>
              </w:rPr>
            </w:r>
            <w:r>
              <w:rPr>
                <w:sz w:val="18"/>
              </w:rPr>
              <w:t>5</w:t>
            </w:r>
          </w:p>
        </w:tc>
        <w:tc>
          <w:tcPr>
            <w:tcW w:type="dxa" w:w="8496"/>
            <w:shd w:fill="D6E4F0"/>
          </w:tcPr>
          <w:p>
            <w:r>
              <w:rPr>
                <w:sz w:val="18"/>
              </w:rPr>
            </w:r>
            <w:r>
              <w:rPr>
                <w:sz w:val="18"/>
              </w:rPr>
              <w:t>Date parsing — custom multi-format parser (ISO, European, textual, ms timestamp)</w:t>
            </w:r>
          </w:p>
        </w:tc>
      </w:tr>
      <w:tr>
        <w:tc>
          <w:tcPr>
            <w:tcW w:type="dxa" w:w="864"/>
          </w:tcPr>
          <w:p>
            <w:r>
              <w:rPr>
                <w:sz w:val="18"/>
              </w:rPr>
            </w:r>
            <w:r>
              <w:rPr>
                <w:sz w:val="18"/>
              </w:rPr>
              <w:t>6</w:t>
            </w:r>
          </w:p>
        </w:tc>
        <w:tc>
          <w:tcPr>
            <w:tcW w:type="dxa" w:w="8496"/>
          </w:tcPr>
          <w:p>
            <w:r>
              <w:rPr>
                <w:sz w:val="18"/>
              </w:rPr>
            </w:r>
            <w:r>
              <w:rPr>
                <w:sz w:val="18"/>
              </w:rPr>
              <w:t xml:space="preserve">Categorical normalization — canonical </w:t>
            </w:r>
            <w:r>
              <w:rPr>
                <w:rFonts w:ascii="Consolas" w:hAnsi="Consolas"/>
                <w:color w:val="800000"/>
                <w:sz w:val="18"/>
              </w:rPr>
              <w:t>sexo</w:t>
            </w:r>
            <w:r>
              <w:rPr>
                <w:sz w:val="18"/>
              </w:rPr>
              <w:t xml:space="preserve"> and </w:t>
            </w:r>
            <w:r>
              <w:rPr>
                <w:rFonts w:ascii="Consolas" w:hAnsi="Consolas"/>
                <w:color w:val="800000"/>
                <w:sz w:val="18"/>
              </w:rPr>
              <w:t>provincia</w:t>
            </w:r>
            <w:r>
              <w:rPr>
                <w:sz w:val="18"/>
              </w:rPr>
              <w:t xml:space="preserve"> values</w:t>
            </w:r>
          </w:p>
        </w:tc>
      </w:tr>
      <w:tr>
        <w:tc>
          <w:tcPr>
            <w:tcW w:type="dxa" w:w="864"/>
            <w:shd w:fill="D6E4F0"/>
          </w:tcPr>
          <w:p>
            <w:r>
              <w:rPr>
                <w:sz w:val="18"/>
              </w:rPr>
            </w:r>
            <w:r>
              <w:rPr>
                <w:sz w:val="18"/>
              </w:rPr>
              <w:t>7</w:t>
            </w:r>
          </w:p>
        </w:tc>
        <w:tc>
          <w:tcPr>
            <w:tcW w:type="dxa" w:w="8496"/>
            <w:shd w:fill="D6E4F0"/>
          </w:tcPr>
          <w:p>
            <w:r>
              <w:rPr>
                <w:sz w:val="18"/>
              </w:rPr>
            </w:r>
            <w:r>
              <w:rPr>
                <w:sz w:val="18"/>
              </w:rPr>
              <w:t xml:space="preserve">Deduplication — </w:t>
            </w:r>
            <w:r>
              <w:rPr>
                <w:rFonts w:ascii="Consolas" w:hAnsi="Consolas"/>
                <w:color w:val="800000"/>
                <w:sz w:val="18"/>
              </w:rPr>
              <w:t>drop_duplicates</w:t>
            </w:r>
            <w:r>
              <w:rPr>
                <w:sz w:val="18"/>
              </w:rPr>
              <w:t xml:space="preserve"> on composite key</w:t>
            </w:r>
          </w:p>
        </w:tc>
      </w:tr>
      <w:tr>
        <w:tc>
          <w:tcPr>
            <w:tcW w:type="dxa" w:w="864"/>
          </w:tcPr>
          <w:p>
            <w:r>
              <w:rPr>
                <w:sz w:val="18"/>
              </w:rPr>
            </w:r>
            <w:r>
              <w:rPr>
                <w:sz w:val="18"/>
              </w:rPr>
              <w:t>8</w:t>
            </w:r>
          </w:p>
        </w:tc>
        <w:tc>
          <w:tcPr>
            <w:tcW w:type="dxa" w:w="8496"/>
          </w:tcPr>
          <w:p>
            <w:r>
              <w:rPr>
                <w:sz w:val="18"/>
              </w:rPr>
            </w:r>
            <w:r>
              <w:rPr>
                <w:sz w:val="18"/>
              </w:rPr>
              <w:t>Cleanup — drop helper columns</w:t>
            </w:r>
          </w:p>
        </w:tc>
      </w:tr>
    </w:tbl>
    <w:p>
      <w:pPr>
        <w:pStyle w:val="Heading2"/>
      </w:pPr>
      <w:r>
        <w:t>Feature Engineering</w:t>
      </w:r>
    </w:p>
    <w:p>
      <w:pPr/>
      <w:r>
        <w:t>Seven derived columns are added (</w:t>
      </w:r>
      <w:r>
        <w:rPr>
          <w:rFonts w:ascii="Consolas" w:hAnsi="Consolas"/>
          <w:color w:val="800000"/>
          <w:sz w:val="18"/>
        </w:rPr>
        <w:t>src/features.py</w:t>
      </w:r>
      <w:r>
        <w:t xml:space="preserve">): </w:t>
      </w:r>
      <w:r>
        <w:rPr>
          <w:rFonts w:ascii="Consolas" w:hAnsi="Consolas"/>
          <w:color w:val="800000"/>
          <w:sz w:val="18"/>
        </w:rPr>
        <w:t>trimestre</w:t>
      </w:r>
      <w:r>
        <w:t xml:space="preserve">, </w:t>
      </w:r>
      <w:r>
        <w:rPr>
          <w:rFonts w:ascii="Consolas" w:hAnsi="Consolas"/>
          <w:color w:val="800000"/>
          <w:sz w:val="18"/>
        </w:rPr>
        <w:t>mes</w:t>
      </w:r>
      <w:r>
        <w:t xml:space="preserve">, </w:t>
      </w:r>
      <w:r>
        <w:rPr>
          <w:rFonts w:ascii="Consolas" w:hAnsi="Consolas"/>
          <w:color w:val="800000"/>
          <w:sz w:val="18"/>
        </w:rPr>
        <w:t>year</w:t>
      </w:r>
      <w:r>
        <w:t xml:space="preserve">, </w:t>
      </w:r>
      <w:r>
        <w:rPr>
          <w:rFonts w:ascii="Consolas" w:hAnsi="Consolas"/>
          <w:color w:val="800000"/>
          <w:sz w:val="18"/>
        </w:rPr>
        <w:t>trimestre_label</w:t>
      </w:r>
      <w:r>
        <w:t xml:space="preserve">, </w:t>
      </w:r>
      <w:r>
        <w:rPr>
          <w:rFonts w:ascii="Consolas" w:hAnsi="Consolas"/>
          <w:color w:val="800000"/>
          <w:sz w:val="18"/>
        </w:rPr>
        <w:t>fuente</w:t>
      </w:r>
      <w:r>
        <w:t xml:space="preserve">, </w:t>
      </w:r>
      <w:r>
        <w:rPr>
          <w:rFonts w:ascii="Consolas" w:hAnsi="Consolas"/>
          <w:color w:val="800000"/>
          <w:sz w:val="18"/>
        </w:rPr>
        <w:t>es_nacional</w:t>
      </w:r>
      <w:r>
        <w:t xml:space="preserve">, </w:t>
      </w:r>
      <w:r>
        <w:rPr>
          <w:rFonts w:ascii="Consolas" w:hAnsi="Consolas"/>
          <w:color w:val="800000"/>
          <w:sz w:val="18"/>
        </w:rPr>
        <w:t>ccaa</w:t>
      </w:r>
      <w:r>
        <w:t>. The period label is derived dynamically from the data so the notebook is fully period-agnostic.</w:t>
      </w:r>
    </w:p>
    <w:p>
      <w:pPr>
        <w:pStyle w:val="Heading2"/>
      </w:pPr>
      <w:r>
        <w:t>Pipeline</w:t>
      </w:r>
    </w:p>
    <w:p>
      <w:pPr>
        <w:spacing w:before="80" w:after="80"/>
        <w:ind w:left="432"/>
        <w:shd w:fill="F2F2F2" w:val="clear"/>
      </w:pPr>
      <w:r>
        <w:rPr>
          <w:rFonts w:ascii="Consolas" w:hAnsi="Consolas"/>
          <w:color w:val="333333"/>
          <w:sz w:val="18"/>
        </w:rPr>
        <w:t>fetch_data.py → raw CSV → cleaning.py → utils.py → features.py → data/processed/ → viz.py → charts/</w:t>
      </w:r>
    </w:p>
    <w:p>
      <w:pPr>
        <w:pStyle w:val="Heading2"/>
      </w:pPr>
      <w:r>
        <w:t>Visualization Design</w:t>
      </w:r>
    </w:p>
    <w:p>
      <w:pPr/>
      <w:r>
        <w:t>Nine visualization types answer the eight research questions:</w:t>
      </w:r>
    </w:p>
    <w:p>
      <w:pPr>
        <w:pStyle w:val="ListBullet"/>
        <w:ind w:left="360"/>
      </w:pPr>
      <w:r>
        <w:rPr>
          <w:b/>
        </w:rPr>
        <w:t>Chart 1</w:t>
      </w:r>
      <w:r>
        <w:t xml:space="preserve"> — Horizontal bar: unemployment rate by province, colour-coded by median.</w:t>
      </w:r>
    </w:p>
    <w:p>
      <w:pPr>
        <w:pStyle w:val="ListBullet"/>
        <w:ind w:left="360"/>
      </w:pPr>
      <w:r>
        <w:rPr>
          <w:b/>
        </w:rPr>
        <w:t>Chart 2</w:t>
      </w:r>
      <w:r>
        <w:t xml:space="preserve"> — Two-line chart: gender gap in unemployment over time.</w:t>
      </w:r>
    </w:p>
    <w:p>
      <w:pPr>
        <w:pStyle w:val="ListBullet"/>
        <w:ind w:left="360"/>
      </w:pPr>
      <w:r>
        <w:rPr>
          <w:b/>
        </w:rPr>
        <w:t>Chart 3</w:t>
      </w:r>
      <w:r>
        <w:t xml:space="preserve"> — Four-line chart: employment by economic sector over time.</w:t>
      </w:r>
    </w:p>
    <w:p>
      <w:pPr>
        <w:pStyle w:val="ListBullet"/>
        <w:ind w:left="360"/>
      </w:pPr>
      <w:r>
        <w:rPr>
          <w:b/>
        </w:rPr>
        <w:t>Chart 4</w:t>
      </w:r>
      <w:r>
        <w:t xml:space="preserve"> — Horizontal bar: average employed population per province.</w:t>
      </w:r>
    </w:p>
    <w:p>
      <w:pPr>
        <w:pStyle w:val="ListBullet"/>
        <w:ind w:left="360"/>
      </w:pPr>
      <w:r>
        <w:rPr>
          <w:b/>
        </w:rPr>
        <w:t>Chart 5</w:t>
      </w:r>
      <w:r>
        <w:t xml:space="preserve"> — Area fill line chart: total employment evolution.</w:t>
      </w:r>
    </w:p>
    <w:p>
      <w:pPr>
        <w:pStyle w:val="ListBullet"/>
        <w:ind w:left="360"/>
      </w:pPr>
      <w:r>
        <w:rPr>
          <w:b/>
        </w:rPr>
        <w:t>Chart 6</w:t>
      </w:r>
      <w:r>
        <w:t xml:space="preserve"> — Heatmap: unemployment rate by CCAA and quarter.</w:t>
      </w:r>
    </w:p>
    <w:p>
      <w:pPr>
        <w:pStyle w:val="ListBullet"/>
        <w:ind w:left="360"/>
      </w:pPr>
      <w:r>
        <w:rPr>
          <w:b/>
        </w:rPr>
        <w:t>Chart 7</w:t>
      </w:r>
      <w:r>
        <w:t xml:space="preserve"> — Grouped bar: unemployment rate by age group and sex.</w:t>
      </w:r>
    </w:p>
    <w:p>
      <w:pPr>
        <w:pStyle w:val="ListBullet"/>
        <w:ind w:left="360"/>
      </w:pPr>
      <w:r>
        <w:rPr>
          <w:b/>
        </w:rPr>
        <w:t>Chart 8</w:t>
      </w:r>
      <w:r>
        <w:t xml:space="preserve"> — Multi-line: youth unemployment (16–19, 20–24) vs. total rate.</w:t>
      </w:r>
    </w:p>
    <w:p>
      <w:pPr>
        <w:pStyle w:val="ListBullet"/>
        <w:ind w:left="360"/>
      </w:pPr>
      <w:r>
        <w:rPr>
          <w:b/>
        </w:rPr>
        <w:t>Chart 9</w:t>
      </w:r>
      <w:r>
        <w:t xml:space="preserve"> — Grouped bar: unemployment rate by age group and nationality.</w:t>
      </w:r>
    </w:p>
    <w:p>
      <w:pPr>
        <w:pStyle w:val="Heading1"/>
      </w:pPr>
      <w:r>
        <w:t>5. Results</w:t>
      </w:r>
    </w:p>
    <w:p>
      <w:pPr/>
      <w:r>
        <w:t>The 2002–2025 analysis window covers 96 quarters and three complete macroeconomic cycles: the pre-crisis expansion (2002–2007), the Great Recession (2008–2013), and the recovery-pandemic-rebound period (2014–2025).</w:t>
      </w:r>
    </w:p>
    <w:p>
      <w:pPr>
        <w:pStyle w:val="Heading2"/>
      </w:pPr>
      <w:r>
        <w:t>Unemployment by Province (Q1)</w:t>
      </w:r>
    </w:p>
    <w:p>
      <w:pPr>
        <w:jc w:val="center"/>
      </w:pPr>
      <w:r>
        <w:drawing>
          <wp:inline xmlns:a="http://schemas.openxmlformats.org/drawingml/2006/main" xmlns:pic="http://schemas.openxmlformats.org/drawingml/2006/picture">
            <wp:extent cx="5486400" cy="7673571"/>
            <wp:docPr id="1" name="Picture 1"/>
            <wp:cNvGraphicFramePr>
              <a:graphicFrameLocks noChangeAspect="1"/>
            </wp:cNvGraphicFramePr>
            <a:graphic>
              <a:graphicData uri="http://schemas.openxmlformats.org/drawingml/2006/picture">
                <pic:pic>
                  <pic:nvPicPr>
                    <pic:cNvPr id="0" name="01_tasa_paro_por_provincia.png"/>
                    <pic:cNvPicPr/>
                  </pic:nvPicPr>
                  <pic:blipFill>
                    <a:blip r:embed="rId9"/>
                    <a:stretch>
                      <a:fillRect/>
                    </a:stretch>
                  </pic:blipFill>
                  <pic:spPr>
                    <a:xfrm>
                      <a:off x="0" y="0"/>
                      <a:ext cx="5486400" cy="7673571"/>
                    </a:xfrm>
                    <a:prstGeom prst="rect"/>
                  </pic:spPr>
                </pic:pic>
              </a:graphicData>
            </a:graphic>
          </wp:inline>
        </w:drawing>
      </w:r>
    </w:p>
    <w:p>
      <w:pPr>
        <w:jc w:val="center"/>
      </w:pPr>
      <w:r>
        <w:rPr>
          <w:i/>
          <w:color w:val="606060"/>
          <w:sz w:val="18"/>
        </w:rPr>
        <w:t>Chart 1 — Unemployment rate by province (period average, 2002–2025)</w:t>
      </w:r>
    </w:p>
    <w:p/>
    <w:p>
      <w:pPr/>
      <w:r>
        <w:t>The territorial disparity in unemployment is the most persistent structural feature of the Spanish labour market. Across the full 24-year period, the north–south divide is striking and remarkably stable. Southern provinces — particularly those in Andalucía (Cádiz, Huelva, Sevilla, Córdoba, Jaén, Granada), Extremadura (Badajoz, Cáceres), and the Canary Islands — consistently exhibit unemployment rates well above the national average. In contrast, northern provinces — País Vasco (Gipuzkoa, Araba/Álava, Bizkaia), Navarra, Aragón (Huesca, Teruel), and La Rioja — show significantly lower rates.</w:t>
      </w:r>
    </w:p>
    <w:p>
      <w:pPr/>
      <w:r>
        <w:t>The scale of this divide fluctuated with the business cycle but the ranking barely changed: in 2007 (the pre-crisis low, national rate 8.5%), southern provinces still led the unemployment table; in 2013 (the crisis peak, national rate 25.8%), the same provinces held the top positions but with rates exceeding 35%; and by 2025 (national rate ~10%), the ranking remained essentially the same. This extraordinary persistence over a period that included a housing bubble, a financial crisis, a labour reform, a pandemic, and a historic recovery confirms that the drivers are deeply structural.</w:t>
      </w:r>
    </w:p>
    <w:p>
      <w:pPr>
        <w:pStyle w:val="Heading2"/>
      </w:pPr>
      <w:r>
        <w:t>Gender Gap in Unemployment (Q2)</w:t>
      </w:r>
    </w:p>
    <w:p>
      <w:pPr>
        <w:jc w:val="center"/>
      </w:pPr>
      <w:r>
        <w:drawing>
          <wp:inline xmlns:a="http://schemas.openxmlformats.org/drawingml/2006/main" xmlns:pic="http://schemas.openxmlformats.org/drawingml/2006/picture">
            <wp:extent cx="5486400" cy="2248071"/>
            <wp:docPr id="2" name="Picture 2"/>
            <wp:cNvGraphicFramePr>
              <a:graphicFrameLocks noChangeAspect="1"/>
            </wp:cNvGraphicFramePr>
            <a:graphic>
              <a:graphicData uri="http://schemas.openxmlformats.org/drawingml/2006/picture">
                <pic:pic>
                  <pic:nvPicPr>
                    <pic:cNvPr id="0" name="02_brecha_genero_paro.png"/>
                    <pic:cNvPicPr/>
                  </pic:nvPicPr>
                  <pic:blipFill>
                    <a:blip r:embed="rId10"/>
                    <a:stretch>
                      <a:fillRect/>
                    </a:stretch>
                  </pic:blipFill>
                  <pic:spPr>
                    <a:xfrm>
                      <a:off x="0" y="0"/>
                      <a:ext cx="5486400" cy="2248071"/>
                    </a:xfrm>
                    <a:prstGeom prst="rect"/>
                  </pic:spPr>
                </pic:pic>
              </a:graphicData>
            </a:graphic>
          </wp:inline>
        </w:drawing>
      </w:r>
    </w:p>
    <w:p>
      <w:pPr>
        <w:jc w:val="center"/>
      </w:pPr>
      <w:r>
        <w:rPr>
          <w:i/>
          <w:color w:val="606060"/>
          <w:sz w:val="18"/>
        </w:rPr>
        <w:t>Chart 2 — Gender gap in unemployment rate (2002–2025)</w:t>
      </w:r>
    </w:p>
    <w:p/>
    <w:p>
      <w:pPr/>
      <w:r>
        <w:t>The gender gap is a persistent feature of the Spanish labour market, but its magnitude and direction have evolved significantly over the 24-year period.</w:t>
      </w:r>
    </w:p>
    <w:p>
      <w:pPr/>
      <w:r>
        <w:t>During the pre-crisis period (2002–2007), female unemployment was consistently 4–6 percentage points higher than male unemployment. The 2008 financial crisis initially narrowed the gap dramatically because male-dominated sectors (construction, industry) were hit hardest — male unemployment surged from ~7% to ~25%, while female unemployment rose from ~12% to ~27%. For the first time, the gap shrank to near zero and briefly inverted.</w:t>
      </w:r>
    </w:p>
    <w:p>
      <w:pPr/>
      <w:r>
        <w:t>During the recovery phase (2014–2019), the gender gap re-established itself at around 3–4 percentage points. The 2020 pandemic briefly narrowed the gap again. By 2024–2025, both rates reached their lowest levels in the observed period (~9% male, ~12% female), with the gender gap narrowing to approximately 2–3 percentage points — the smallest sustained gap in the entire 24-year series.</w:t>
      </w:r>
    </w:p>
    <w:p>
      <w:pPr>
        <w:pStyle w:val="Heading2"/>
      </w:pPr>
      <w:r>
        <w:t>Employment by Economic Sector (Q3)</w:t>
      </w:r>
    </w:p>
    <w:p>
      <w:pPr>
        <w:jc w:val="center"/>
      </w:pPr>
      <w:r>
        <w:drawing>
          <wp:inline xmlns:a="http://schemas.openxmlformats.org/drawingml/2006/main" xmlns:pic="http://schemas.openxmlformats.org/drawingml/2006/picture">
            <wp:extent cx="5486400" cy="2248071"/>
            <wp:docPr id="3" name="Picture 3"/>
            <wp:cNvGraphicFramePr>
              <a:graphicFrameLocks noChangeAspect="1"/>
            </wp:cNvGraphicFramePr>
            <a:graphic>
              <a:graphicData uri="http://schemas.openxmlformats.org/drawingml/2006/picture">
                <pic:pic>
                  <pic:nvPicPr>
                    <pic:cNvPr id="0" name="03_empleo_por_sector.png"/>
                    <pic:cNvPicPr/>
                  </pic:nvPicPr>
                  <pic:blipFill>
                    <a:blip r:embed="rId11"/>
                    <a:stretch>
                      <a:fillRect/>
                    </a:stretch>
                  </pic:blipFill>
                  <pic:spPr>
                    <a:xfrm>
                      <a:off x="0" y="0"/>
                      <a:ext cx="5486400" cy="2248071"/>
                    </a:xfrm>
                    <a:prstGeom prst="rect"/>
                  </pic:spPr>
                </pic:pic>
              </a:graphicData>
            </a:graphic>
          </wp:inline>
        </w:drawing>
      </w:r>
    </w:p>
    <w:p>
      <w:pPr>
        <w:jc w:val="center"/>
      </w:pPr>
      <w:r>
        <w:rPr>
          <w:i/>
          <w:color w:val="606060"/>
          <w:sz w:val="18"/>
        </w:rPr>
        <w:t>Chart 3 — Employment by economic sector (2002–2025)</w:t>
      </w:r>
    </w:p>
    <w:p/>
    <w:p>
      <w:pPr/>
      <w:r>
        <w:t>The most dramatic story in the sectoral data is the rise and catastrophic fall of the construction sector, set against the relentless growth of services.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2F5496"/>
          </w:tcPr>
          <w:p>
            <w:pPr>
              <w:jc w:val="center"/>
            </w:pPr>
            <w:r/>
            <w:r>
              <w:rPr>
                <w:b/>
                <w:color w:val="FFFFFF"/>
                <w:sz w:val="18"/>
              </w:rPr>
              <w:t>Sector</w:t>
            </w:r>
          </w:p>
        </w:tc>
        <w:tc>
          <w:tcPr>
            <w:tcW w:type="dxa" w:w="1440"/>
            <w:shd w:fill="2F5496"/>
          </w:tcPr>
          <w:p>
            <w:pPr>
              <w:jc w:val="center"/>
            </w:pPr>
            <w:r/>
            <w:r>
              <w:rPr>
                <w:b/>
                <w:color w:val="FFFFFF"/>
                <w:sz w:val="18"/>
              </w:rPr>
              <w:t>2007 (peak)</w:t>
            </w:r>
          </w:p>
        </w:tc>
        <w:tc>
          <w:tcPr>
            <w:tcW w:type="dxa" w:w="1440"/>
            <w:shd w:fill="2F5496"/>
          </w:tcPr>
          <w:p>
            <w:pPr>
              <w:jc w:val="center"/>
            </w:pPr>
            <w:r/>
            <w:r>
              <w:rPr>
                <w:b/>
                <w:color w:val="FFFFFF"/>
                <w:sz w:val="18"/>
              </w:rPr>
              <w:t>2013 (trough)</w:t>
            </w:r>
          </w:p>
        </w:tc>
        <w:tc>
          <w:tcPr>
            <w:tcW w:type="dxa" w:w="1440"/>
            <w:shd w:fill="2F5496"/>
          </w:tcPr>
          <w:p>
            <w:pPr>
              <w:jc w:val="center"/>
            </w:pPr>
            <w:r/>
            <w:r>
              <w:rPr>
                <w:b/>
                <w:color w:val="FFFFFF"/>
                <w:sz w:val="18"/>
              </w:rPr>
              <w:t>2025 (latest)</w:t>
            </w:r>
          </w:p>
        </w:tc>
        <w:tc>
          <w:tcPr>
            <w:tcW w:type="dxa" w:w="1728"/>
            <w:shd w:fill="2F5496"/>
          </w:tcPr>
          <w:p>
            <w:pPr>
              <w:jc w:val="center"/>
            </w:pPr>
            <w:r/>
            <w:r>
              <w:rPr>
                <w:b/>
                <w:color w:val="FFFFFF"/>
                <w:sz w:val="18"/>
              </w:rPr>
              <w:t>Change 2007→2013</w:t>
            </w:r>
          </w:p>
        </w:tc>
        <w:tc>
          <w:tcPr>
            <w:tcW w:type="dxa" w:w="1584"/>
            <w:shd w:fill="2F5496"/>
          </w:tcPr>
          <w:p>
            <w:pPr>
              <w:jc w:val="center"/>
            </w:pPr>
            <w:r/>
            <w:r>
              <w:rPr>
                <w:b/>
                <w:color w:val="FFFFFF"/>
                <w:sz w:val="18"/>
              </w:rPr>
              <w:t>Change 2013→2025</w:t>
            </w:r>
          </w:p>
        </w:tc>
      </w:tr>
      <w:tr>
        <w:tc>
          <w:tcPr>
            <w:tcW w:type="dxa" w:w="1728"/>
            <w:shd w:fill="D6E4F0"/>
          </w:tcPr>
          <w:p>
            <w:r>
              <w:rPr>
                <w:sz w:val="18"/>
              </w:rPr>
            </w:r>
            <w:r>
              <w:rPr>
                <w:b/>
                <w:sz w:val="18"/>
              </w:rPr>
              <w:t>Services</w:t>
            </w:r>
          </w:p>
        </w:tc>
        <w:tc>
          <w:tcPr>
            <w:tcW w:type="dxa" w:w="1440"/>
            <w:shd w:fill="D6E4F0"/>
          </w:tcPr>
          <w:p>
            <w:r>
              <w:rPr>
                <w:sz w:val="18"/>
              </w:rPr>
            </w:r>
            <w:r>
              <w:rPr>
                <w:sz w:val="18"/>
              </w:rPr>
              <w:t>13,718k</w:t>
            </w:r>
          </w:p>
        </w:tc>
        <w:tc>
          <w:tcPr>
            <w:tcW w:type="dxa" w:w="1440"/>
            <w:shd w:fill="D6E4F0"/>
          </w:tcPr>
          <w:p>
            <w:r>
              <w:rPr>
                <w:sz w:val="18"/>
              </w:rPr>
            </w:r>
            <w:r>
              <w:rPr>
                <w:sz w:val="18"/>
              </w:rPr>
              <w:t>13,025k</w:t>
            </w:r>
          </w:p>
        </w:tc>
        <w:tc>
          <w:tcPr>
            <w:tcW w:type="dxa" w:w="1440"/>
            <w:shd w:fill="D6E4F0"/>
          </w:tcPr>
          <w:p>
            <w:r>
              <w:rPr>
                <w:sz w:val="18"/>
              </w:rPr>
            </w:r>
            <w:r>
              <w:rPr>
                <w:sz w:val="18"/>
              </w:rPr>
              <w:t>17,026k</w:t>
            </w:r>
          </w:p>
        </w:tc>
        <w:tc>
          <w:tcPr>
            <w:tcW w:type="dxa" w:w="1728"/>
            <w:shd w:fill="D6E4F0"/>
          </w:tcPr>
          <w:p>
            <w:r>
              <w:rPr>
                <w:sz w:val="18"/>
              </w:rPr>
            </w:r>
            <w:r>
              <w:rPr>
                <w:sz w:val="18"/>
              </w:rPr>
              <w:t>−5.1%</w:t>
            </w:r>
          </w:p>
        </w:tc>
        <w:tc>
          <w:tcPr>
            <w:tcW w:type="dxa" w:w="1584"/>
            <w:shd w:fill="D6E4F0"/>
          </w:tcPr>
          <w:p>
            <w:r>
              <w:rPr>
                <w:sz w:val="18"/>
              </w:rPr>
            </w:r>
            <w:r>
              <w:rPr>
                <w:sz w:val="18"/>
              </w:rPr>
              <w:t>+30.7%</w:t>
            </w:r>
          </w:p>
        </w:tc>
      </w:tr>
      <w:tr>
        <w:tc>
          <w:tcPr>
            <w:tcW w:type="dxa" w:w="1728"/>
          </w:tcPr>
          <w:p>
            <w:r>
              <w:rPr>
                <w:sz w:val="18"/>
              </w:rPr>
            </w:r>
            <w:r>
              <w:rPr>
                <w:b/>
                <w:sz w:val="18"/>
              </w:rPr>
              <w:t>Industry</w:t>
            </w:r>
          </w:p>
        </w:tc>
        <w:tc>
          <w:tcPr>
            <w:tcW w:type="dxa" w:w="1440"/>
          </w:tcPr>
          <w:p>
            <w:r>
              <w:rPr>
                <w:sz w:val="18"/>
              </w:rPr>
            </w:r>
            <w:r>
              <w:rPr>
                <w:sz w:val="18"/>
              </w:rPr>
              <w:t>3,353k</w:t>
            </w:r>
          </w:p>
        </w:tc>
        <w:tc>
          <w:tcPr>
            <w:tcW w:type="dxa" w:w="1440"/>
          </w:tcPr>
          <w:p>
            <w:r>
              <w:rPr>
                <w:sz w:val="18"/>
              </w:rPr>
            </w:r>
            <w:r>
              <w:rPr>
                <w:sz w:val="18"/>
              </w:rPr>
              <w:t>2,336k</w:t>
            </w:r>
          </w:p>
        </w:tc>
        <w:tc>
          <w:tcPr>
            <w:tcW w:type="dxa" w:w="1440"/>
          </w:tcPr>
          <w:p>
            <w:r>
              <w:rPr>
                <w:sz w:val="18"/>
              </w:rPr>
            </w:r>
            <w:r>
              <w:rPr>
                <w:sz w:val="18"/>
              </w:rPr>
              <w:t>3,036k</w:t>
            </w:r>
          </w:p>
        </w:tc>
        <w:tc>
          <w:tcPr>
            <w:tcW w:type="dxa" w:w="1728"/>
          </w:tcPr>
          <w:p>
            <w:r>
              <w:rPr>
                <w:sz w:val="18"/>
              </w:rPr>
            </w:r>
            <w:r>
              <w:rPr>
                <w:sz w:val="18"/>
              </w:rPr>
              <w:t>−30.3%</w:t>
            </w:r>
          </w:p>
        </w:tc>
        <w:tc>
          <w:tcPr>
            <w:tcW w:type="dxa" w:w="1584"/>
          </w:tcPr>
          <w:p>
            <w:r>
              <w:rPr>
                <w:sz w:val="18"/>
              </w:rPr>
            </w:r>
            <w:r>
              <w:rPr>
                <w:sz w:val="18"/>
              </w:rPr>
              <w:t>+30.0%</w:t>
            </w:r>
          </w:p>
        </w:tc>
      </w:tr>
      <w:tr>
        <w:tc>
          <w:tcPr>
            <w:tcW w:type="dxa" w:w="1728"/>
            <w:shd w:fill="D6E4F0"/>
          </w:tcPr>
          <w:p>
            <w:r>
              <w:rPr>
                <w:sz w:val="18"/>
              </w:rPr>
            </w:r>
            <w:r>
              <w:rPr>
                <w:b/>
                <w:sz w:val="18"/>
              </w:rPr>
              <w:t>Construction</w:t>
            </w:r>
          </w:p>
        </w:tc>
        <w:tc>
          <w:tcPr>
            <w:tcW w:type="dxa" w:w="1440"/>
            <w:shd w:fill="D6E4F0"/>
          </w:tcPr>
          <w:p>
            <w:r>
              <w:rPr>
                <w:sz w:val="18"/>
              </w:rPr>
            </w:r>
            <w:r>
              <w:rPr>
                <w:sz w:val="18"/>
              </w:rPr>
              <w:t>2,680k</w:t>
            </w:r>
          </w:p>
        </w:tc>
        <w:tc>
          <w:tcPr>
            <w:tcW w:type="dxa" w:w="1440"/>
            <w:shd w:fill="D6E4F0"/>
          </w:tcPr>
          <w:p>
            <w:r>
              <w:rPr>
                <w:sz w:val="18"/>
              </w:rPr>
            </w:r>
            <w:r>
              <w:rPr>
                <w:sz w:val="18"/>
              </w:rPr>
              <w:t>999k</w:t>
            </w:r>
          </w:p>
        </w:tc>
        <w:tc>
          <w:tcPr>
            <w:tcW w:type="dxa" w:w="1440"/>
            <w:shd w:fill="D6E4F0"/>
          </w:tcPr>
          <w:p>
            <w:r>
              <w:rPr>
                <w:sz w:val="18"/>
              </w:rPr>
            </w:r>
            <w:r>
              <w:rPr>
                <w:sz w:val="18"/>
              </w:rPr>
              <w:t>1,547k</w:t>
            </w:r>
          </w:p>
        </w:tc>
        <w:tc>
          <w:tcPr>
            <w:tcW w:type="dxa" w:w="1728"/>
            <w:shd w:fill="D6E4F0"/>
          </w:tcPr>
          <w:p>
            <w:r>
              <w:rPr>
                <w:sz w:val="18"/>
              </w:rPr>
            </w:r>
            <w:r>
              <w:rPr>
                <w:b/>
                <w:sz w:val="18"/>
              </w:rPr>
              <w:t>−62.7%</w:t>
            </w:r>
          </w:p>
        </w:tc>
        <w:tc>
          <w:tcPr>
            <w:tcW w:type="dxa" w:w="1584"/>
            <w:shd w:fill="D6E4F0"/>
          </w:tcPr>
          <w:p>
            <w:r>
              <w:rPr>
                <w:sz w:val="18"/>
              </w:rPr>
            </w:r>
            <w:r>
              <w:rPr>
                <w:sz w:val="18"/>
              </w:rPr>
              <w:t>+54.9%</w:t>
            </w:r>
          </w:p>
        </w:tc>
      </w:tr>
      <w:tr>
        <w:tc>
          <w:tcPr>
            <w:tcW w:type="dxa" w:w="1728"/>
          </w:tcPr>
          <w:p>
            <w:r>
              <w:rPr>
                <w:sz w:val="18"/>
              </w:rPr>
            </w:r>
            <w:r>
              <w:rPr>
                <w:b/>
                <w:sz w:val="18"/>
              </w:rPr>
              <w:t>Agriculture</w:t>
            </w:r>
          </w:p>
        </w:tc>
        <w:tc>
          <w:tcPr>
            <w:tcW w:type="dxa" w:w="1440"/>
          </w:tcPr>
          <w:p>
            <w:r>
              <w:rPr>
                <w:sz w:val="18"/>
              </w:rPr>
            </w:r>
            <w:r>
              <w:rPr>
                <w:sz w:val="18"/>
              </w:rPr>
              <w:t>870k</w:t>
            </w:r>
          </w:p>
        </w:tc>
        <w:tc>
          <w:tcPr>
            <w:tcW w:type="dxa" w:w="1440"/>
          </w:tcPr>
          <w:p>
            <w:r>
              <w:rPr>
                <w:sz w:val="18"/>
              </w:rPr>
            </w:r>
            <w:r>
              <w:rPr>
                <w:sz w:val="18"/>
              </w:rPr>
              <w:t>760k</w:t>
            </w:r>
          </w:p>
        </w:tc>
        <w:tc>
          <w:tcPr>
            <w:tcW w:type="dxa" w:w="1440"/>
          </w:tcPr>
          <w:p>
            <w:r>
              <w:rPr>
                <w:sz w:val="18"/>
              </w:rPr>
            </w:r>
            <w:r>
              <w:rPr>
                <w:sz w:val="18"/>
              </w:rPr>
              <w:t>764k</w:t>
            </w:r>
          </w:p>
        </w:tc>
        <w:tc>
          <w:tcPr>
            <w:tcW w:type="dxa" w:w="1728"/>
          </w:tcPr>
          <w:p>
            <w:r>
              <w:rPr>
                <w:sz w:val="18"/>
              </w:rPr>
            </w:r>
            <w:r>
              <w:rPr>
                <w:sz w:val="18"/>
              </w:rPr>
              <w:t>−12.6%</w:t>
            </w:r>
          </w:p>
        </w:tc>
        <w:tc>
          <w:tcPr>
            <w:tcW w:type="dxa" w:w="1584"/>
          </w:tcPr>
          <w:p>
            <w:r>
              <w:rPr>
                <w:sz w:val="18"/>
              </w:rPr>
            </w:r>
            <w:r>
              <w:rPr>
                <w:sz w:val="18"/>
              </w:rPr>
              <w:t>+0.5%</w:t>
            </w:r>
          </w:p>
        </w:tc>
      </w:tr>
    </w:tbl>
    <w:p/>
    <w:p>
      <w:pPr/>
      <w:r>
        <w:t>Construction collapsed from 2.7 million workers (2007) to just 1.0 million (2013) — a loss of 1.7 million jobs. By 2025, it has recovered to 1.5 million but remains 43% below its 2007 peak. Services now account for over 76% of total employment, up from ~66% in 2007.</w:t>
      </w:r>
    </w:p>
    <w:p>
      <w:pPr>
        <w:pStyle w:val="Heading2"/>
      </w:pPr>
      <w:r>
        <w:t>Employment Evolution and Recovery (Q4)</w:t>
      </w:r>
    </w:p>
    <w:p>
      <w:pPr>
        <w:jc w:val="center"/>
      </w:pPr>
      <w:r>
        <w:drawing>
          <wp:inline xmlns:a="http://schemas.openxmlformats.org/drawingml/2006/main" xmlns:pic="http://schemas.openxmlformats.org/drawingml/2006/picture">
            <wp:extent cx="5486400" cy="2248071"/>
            <wp:docPr id="4" name="Picture 4"/>
            <wp:cNvGraphicFramePr>
              <a:graphicFrameLocks noChangeAspect="1"/>
            </wp:cNvGraphicFramePr>
            <a:graphic>
              <a:graphicData uri="http://schemas.openxmlformats.org/drawingml/2006/picture">
                <pic:pic>
                  <pic:nvPicPr>
                    <pic:cNvPr id="0" name="05_evolucion_empleo_total.png"/>
                    <pic:cNvPicPr/>
                  </pic:nvPicPr>
                  <pic:blipFill>
                    <a:blip r:embed="rId12"/>
                    <a:stretch>
                      <a:fillRect/>
                    </a:stretch>
                  </pic:blipFill>
                  <pic:spPr>
                    <a:xfrm>
                      <a:off x="0" y="0"/>
                      <a:ext cx="5486400" cy="2248071"/>
                    </a:xfrm>
                    <a:prstGeom prst="rect"/>
                  </pic:spPr>
                </pic:pic>
              </a:graphicData>
            </a:graphic>
          </wp:inline>
        </w:drawing>
      </w:r>
    </w:p>
    <w:p>
      <w:pPr>
        <w:jc w:val="center"/>
      </w:pPr>
      <w:r>
        <w:rPr>
          <w:i/>
          <w:color w:val="606060"/>
          <w:sz w:val="18"/>
        </w:rPr>
        <w:t>Chart 5 — Total employment evolution (2002–2025)</w:t>
      </w:r>
    </w:p>
    <w:p/>
    <w:p>
      <w:pPr/>
      <w:r>
        <w:t>The employment trajectory reveals the full economic cycle: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2F5496"/>
          </w:tcPr>
          <w:p>
            <w:pPr>
              <w:jc w:val="center"/>
            </w:pPr>
            <w:r/>
            <w:r>
              <w:rPr>
                <w:b/>
                <w:color w:val="FFFFFF"/>
                <w:sz w:val="18"/>
              </w:rPr>
              <w:t>Period</w:t>
            </w:r>
          </w:p>
        </w:tc>
        <w:tc>
          <w:tcPr>
            <w:tcW w:type="dxa" w:w="2160"/>
            <w:shd w:fill="2F5496"/>
          </w:tcPr>
          <w:p>
            <w:pPr>
              <w:jc w:val="center"/>
            </w:pPr>
            <w:r/>
            <w:r>
              <w:rPr>
                <w:b/>
                <w:color w:val="FFFFFF"/>
                <w:sz w:val="18"/>
              </w:rPr>
              <w:t>Employment</w:t>
            </w:r>
          </w:p>
        </w:tc>
        <w:tc>
          <w:tcPr>
            <w:tcW w:type="dxa" w:w="5760"/>
            <w:shd w:fill="2F5496"/>
          </w:tcPr>
          <w:p>
            <w:pPr>
              <w:jc w:val="center"/>
            </w:pPr>
            <w:r/>
            <w:r>
              <w:rPr>
                <w:b/>
                <w:color w:val="FFFFFF"/>
                <w:sz w:val="18"/>
              </w:rPr>
              <w:t>Key event</w:t>
            </w:r>
          </w:p>
        </w:tc>
      </w:tr>
      <w:tr>
        <w:tc>
          <w:tcPr>
            <w:tcW w:type="dxa" w:w="1440"/>
            <w:shd w:fill="D6E4F0"/>
          </w:tcPr>
          <w:p>
            <w:r>
              <w:rPr>
                <w:sz w:val="18"/>
              </w:rPr>
            </w:r>
            <w:r>
              <w:rPr>
                <w:sz w:val="18"/>
              </w:rPr>
              <w:t>2002</w:t>
            </w:r>
          </w:p>
        </w:tc>
        <w:tc>
          <w:tcPr>
            <w:tcW w:type="dxa" w:w="2160"/>
            <w:shd w:fill="D6E4F0"/>
          </w:tcPr>
          <w:p>
            <w:r>
              <w:rPr>
                <w:sz w:val="18"/>
              </w:rPr>
            </w:r>
            <w:r>
              <w:rPr>
                <w:sz w:val="18"/>
              </w:rPr>
              <w:t>16,943k</w:t>
            </w:r>
          </w:p>
        </w:tc>
        <w:tc>
          <w:tcPr>
            <w:tcW w:type="dxa" w:w="5760"/>
            <w:shd w:fill="D6E4F0"/>
          </w:tcPr>
          <w:p>
            <w:r>
              <w:rPr>
                <w:sz w:val="18"/>
              </w:rPr>
            </w:r>
            <w:r>
              <w:rPr>
                <w:sz w:val="18"/>
              </w:rPr>
              <w:t>Starting point</w:t>
            </w:r>
          </w:p>
        </w:tc>
      </w:tr>
      <w:tr>
        <w:tc>
          <w:tcPr>
            <w:tcW w:type="dxa" w:w="1440"/>
          </w:tcPr>
          <w:p>
            <w:r>
              <w:rPr>
                <w:sz w:val="18"/>
              </w:rPr>
            </w:r>
            <w:r>
              <w:rPr>
                <w:sz w:val="18"/>
              </w:rPr>
              <w:t>2007</w:t>
            </w:r>
          </w:p>
        </w:tc>
        <w:tc>
          <w:tcPr>
            <w:tcW w:type="dxa" w:w="2160"/>
          </w:tcPr>
          <w:p>
            <w:r>
              <w:rPr>
                <w:sz w:val="18"/>
              </w:rPr>
            </w:r>
            <w:r>
              <w:rPr>
                <w:sz w:val="18"/>
              </w:rPr>
              <w:t>20,668k</w:t>
            </w:r>
          </w:p>
        </w:tc>
        <w:tc>
          <w:tcPr>
            <w:tcW w:type="dxa" w:w="5760"/>
          </w:tcPr>
          <w:p>
            <w:r>
              <w:rPr>
                <w:sz w:val="18"/>
              </w:rPr>
            </w:r>
            <w:r>
              <w:rPr>
                <w:sz w:val="18"/>
              </w:rPr>
              <w:t>Pre-crisis peak (+3.7M jobs in 5 years)</w:t>
            </w:r>
          </w:p>
        </w:tc>
      </w:tr>
      <w:tr>
        <w:tc>
          <w:tcPr>
            <w:tcW w:type="dxa" w:w="1440"/>
            <w:shd w:fill="D6E4F0"/>
          </w:tcPr>
          <w:p>
            <w:r>
              <w:rPr>
                <w:sz w:val="18"/>
              </w:rPr>
            </w:r>
            <w:r>
              <w:rPr>
                <w:sz w:val="18"/>
              </w:rPr>
              <w:t>2013</w:t>
            </w:r>
          </w:p>
        </w:tc>
        <w:tc>
          <w:tcPr>
            <w:tcW w:type="dxa" w:w="2160"/>
            <w:shd w:fill="D6E4F0"/>
          </w:tcPr>
          <w:p>
            <w:r>
              <w:rPr>
                <w:sz w:val="18"/>
              </w:rPr>
            </w:r>
            <w:r>
              <w:rPr>
                <w:sz w:val="18"/>
              </w:rPr>
              <w:t>17,119k</w:t>
            </w:r>
          </w:p>
        </w:tc>
        <w:tc>
          <w:tcPr>
            <w:tcW w:type="dxa" w:w="5760"/>
            <w:shd w:fill="D6E4F0"/>
          </w:tcPr>
          <w:p>
            <w:r>
              <w:rPr>
                <w:sz w:val="18"/>
              </w:rPr>
            </w:r>
            <w:r>
              <w:rPr>
                <w:sz w:val="18"/>
              </w:rPr>
              <w:t>Crisis trough (−3.6M jobs destroyed)</w:t>
            </w:r>
          </w:p>
        </w:tc>
      </w:tr>
      <w:tr>
        <w:tc>
          <w:tcPr>
            <w:tcW w:type="dxa" w:w="1440"/>
          </w:tcPr>
          <w:p>
            <w:r>
              <w:rPr>
                <w:sz w:val="18"/>
              </w:rPr>
            </w:r>
            <w:r>
              <w:rPr>
                <w:sz w:val="18"/>
              </w:rPr>
              <w:t>2019</w:t>
            </w:r>
          </w:p>
        </w:tc>
        <w:tc>
          <w:tcPr>
            <w:tcW w:type="dxa" w:w="2160"/>
          </w:tcPr>
          <w:p>
            <w:r>
              <w:rPr>
                <w:sz w:val="18"/>
              </w:rPr>
            </w:r>
            <w:r>
              <w:rPr>
                <w:sz w:val="18"/>
              </w:rPr>
              <w:t>19,832k</w:t>
            </w:r>
          </w:p>
        </w:tc>
        <w:tc>
          <w:tcPr>
            <w:tcW w:type="dxa" w:w="5760"/>
          </w:tcPr>
          <w:p>
            <w:r>
              <w:rPr>
                <w:sz w:val="18"/>
              </w:rPr>
            </w:r>
            <w:r>
              <w:rPr>
                <w:sz w:val="18"/>
              </w:rPr>
              <w:t>Pre-pandemic (still below 2007 peak)</w:t>
            </w:r>
          </w:p>
        </w:tc>
      </w:tr>
      <w:tr>
        <w:tc>
          <w:tcPr>
            <w:tcW w:type="dxa" w:w="1440"/>
            <w:shd w:fill="D6E4F0"/>
          </w:tcPr>
          <w:p>
            <w:r>
              <w:rPr>
                <w:sz w:val="18"/>
              </w:rPr>
            </w:r>
            <w:r>
              <w:rPr>
                <w:sz w:val="18"/>
              </w:rPr>
              <w:t>2020</w:t>
            </w:r>
          </w:p>
        </w:tc>
        <w:tc>
          <w:tcPr>
            <w:tcW w:type="dxa" w:w="2160"/>
            <w:shd w:fill="D6E4F0"/>
          </w:tcPr>
          <w:p>
            <w:r>
              <w:rPr>
                <w:sz w:val="18"/>
              </w:rPr>
            </w:r>
            <w:r>
              <w:rPr>
                <w:sz w:val="18"/>
              </w:rPr>
              <w:t>19,092k</w:t>
            </w:r>
          </w:p>
        </w:tc>
        <w:tc>
          <w:tcPr>
            <w:tcW w:type="dxa" w:w="5760"/>
            <w:shd w:fill="D6E4F0"/>
          </w:tcPr>
          <w:p>
            <w:r>
              <w:rPr>
                <w:sz w:val="18"/>
              </w:rPr>
            </w:r>
            <w:r>
              <w:rPr>
                <w:sz w:val="18"/>
              </w:rPr>
              <w:t>COVID shock</w:t>
            </w:r>
          </w:p>
        </w:tc>
      </w:tr>
      <w:tr>
        <w:tc>
          <w:tcPr>
            <w:tcW w:type="dxa" w:w="1440"/>
          </w:tcPr>
          <w:p>
            <w:r>
              <w:rPr>
                <w:sz w:val="18"/>
              </w:rPr>
            </w:r>
            <w:r>
              <w:rPr>
                <w:sz w:val="18"/>
              </w:rPr>
              <w:t>2025</w:t>
            </w:r>
          </w:p>
        </w:tc>
        <w:tc>
          <w:tcPr>
            <w:tcW w:type="dxa" w:w="2160"/>
          </w:tcPr>
          <w:p>
            <w:r>
              <w:rPr>
                <w:sz w:val="18"/>
              </w:rPr>
            </w:r>
            <w:r>
              <w:rPr>
                <w:sz w:val="18"/>
              </w:rPr>
              <w:t>22,373k</w:t>
            </w:r>
          </w:p>
        </w:tc>
        <w:tc>
          <w:tcPr>
            <w:tcW w:type="dxa" w:w="5760"/>
          </w:tcPr>
          <w:p>
            <w:r>
              <w:rPr>
                <w:sz w:val="18"/>
              </w:rPr>
            </w:r>
            <w:r>
              <w:rPr>
                <w:b/>
                <w:sz w:val="18"/>
              </w:rPr>
              <w:t>All-time record</w:t>
            </w:r>
            <w:r>
              <w:rPr>
                <w:sz w:val="18"/>
              </w:rPr>
              <w:t xml:space="preserve"> (+5.4M vs 2002; +1.7M vs 2007)</w:t>
            </w:r>
          </w:p>
        </w:tc>
      </w:tr>
    </w:tbl>
    <w:p/>
    <w:p>
      <w:pPr/>
      <w:r>
        <w:t>The unemployment rate swung from 7.93% (Q1 2007, all-time low) to 26.06% (Q1 2013, peak) to 9.93% (Q3 2025 — breaking below 10% for the first time since the pre-2008 era).</w:t>
      </w:r>
    </w:p>
    <w:p>
      <w:pPr>
        <w:pStyle w:val="Heading2"/>
      </w:pPr>
      <w:r>
        <w:t>Employment Distribution and Territorial Concentration (Q4/Q5)</w:t>
      </w:r>
    </w:p>
    <w:p>
      <w:pPr>
        <w:jc w:val="center"/>
      </w:pPr>
      <w:r>
        <w:drawing>
          <wp:inline xmlns:a="http://schemas.openxmlformats.org/drawingml/2006/main" xmlns:pic="http://schemas.openxmlformats.org/drawingml/2006/picture">
            <wp:extent cx="5486400" cy="7688349"/>
            <wp:docPr id="5" name="Picture 5"/>
            <wp:cNvGraphicFramePr>
              <a:graphicFrameLocks noChangeAspect="1"/>
            </wp:cNvGraphicFramePr>
            <a:graphic>
              <a:graphicData uri="http://schemas.openxmlformats.org/drawingml/2006/picture">
                <pic:pic>
                  <pic:nvPicPr>
                    <pic:cNvPr id="0" name="04_distribucion_ocupados.png"/>
                    <pic:cNvPicPr/>
                  </pic:nvPicPr>
                  <pic:blipFill>
                    <a:blip r:embed="rId13"/>
                    <a:stretch>
                      <a:fillRect/>
                    </a:stretch>
                  </pic:blipFill>
                  <pic:spPr>
                    <a:xfrm>
                      <a:off x="0" y="0"/>
                      <a:ext cx="5486400" cy="7688349"/>
                    </a:xfrm>
                    <a:prstGeom prst="rect"/>
                  </pic:spPr>
                </pic:pic>
              </a:graphicData>
            </a:graphic>
          </wp:inline>
        </w:drawing>
      </w:r>
    </w:p>
    <w:p>
      <w:pPr>
        <w:jc w:val="center"/>
      </w:pPr>
      <w:r>
        <w:rPr>
          <w:i/>
          <w:color w:val="606060"/>
          <w:sz w:val="18"/>
        </w:rPr>
        <w:t>Chart 4 — Average employed population by province (2002–2025)</w:t>
      </w:r>
    </w:p>
    <w:p/>
    <w:p>
      <w:pPr/>
      <w:r>
        <w:t xml:space="preserve">The distribution is extremely right-skewed: Madrid and Barcelona together account for roughly a quarter of total national employment. The </w:t>
      </w:r>
      <w:r>
        <w:rPr>
          <w:i/>
        </w:rPr>
        <w:t>España Vacía</w:t>
      </w:r>
      <w:r>
        <w:t xml:space="preserve"> (Empty Spain) phenomenon is clearly visible — many interior provinces (Soria, Teruel, Ávila, Segovia) have employment bases under 50,000. This territorial concentration has not changed over the 24-year period.</w:t>
      </w:r>
    </w:p>
    <w:p>
      <w:pPr>
        <w:pStyle w:val="Heading2"/>
      </w:pPr>
      <w:r>
        <w:t>Territorial Unemployment Patterns — Heatmap (Q1/Q5)</w:t>
      </w:r>
    </w:p>
    <w:p>
      <w:pPr>
        <w:jc w:val="center"/>
      </w:pPr>
      <w:r>
        <w:drawing>
          <wp:inline xmlns:a="http://schemas.openxmlformats.org/drawingml/2006/main" xmlns:pic="http://schemas.openxmlformats.org/drawingml/2006/picture">
            <wp:extent cx="5486400" cy="4166850"/>
            <wp:docPr id="6" name="Picture 6"/>
            <wp:cNvGraphicFramePr>
              <a:graphicFrameLocks noChangeAspect="1"/>
            </wp:cNvGraphicFramePr>
            <a:graphic>
              <a:graphicData uri="http://schemas.openxmlformats.org/drawingml/2006/picture">
                <pic:pic>
                  <pic:nvPicPr>
                    <pic:cNvPr id="0" name="06_heatmap_paro_ccaa.png"/>
                    <pic:cNvPicPr/>
                  </pic:nvPicPr>
                  <pic:blipFill>
                    <a:blip r:embed="rId14"/>
                    <a:stretch>
                      <a:fillRect/>
                    </a:stretch>
                  </pic:blipFill>
                  <pic:spPr>
                    <a:xfrm>
                      <a:off x="0" y="0"/>
                      <a:ext cx="5486400" cy="4166850"/>
                    </a:xfrm>
                    <a:prstGeom prst="rect"/>
                  </pic:spPr>
                </pic:pic>
              </a:graphicData>
            </a:graphic>
          </wp:inline>
        </w:drawing>
      </w:r>
    </w:p>
    <w:p>
      <w:pPr>
        <w:jc w:val="center"/>
      </w:pPr>
      <w:r>
        <w:rPr>
          <w:i/>
          <w:color w:val="606060"/>
          <w:sz w:val="18"/>
        </w:rPr>
        <w:t>Chart 6 — Heatmap of unemployment rate by CCAA and quarter (2002–2025)</w:t>
      </w:r>
    </w:p>
    <w:p/>
    <w:p>
      <w:pPr/>
      <w:r>
        <w:t>The heatmap across 96 quarters reveals three structural patterns:</w:t>
      </w:r>
    </w:p>
    <w:p>
      <w:pPr>
        <w:pStyle w:val="ListBullet"/>
        <w:ind w:left="360"/>
      </w:pPr>
      <w:r>
        <w:rPr>
          <w:b/>
        </w:rPr>
        <w:t>Persistent territorial ranking:</w:t>
      </w:r>
      <w:r>
        <w:t xml:space="preserve"> Andalucía, Canarias, Extremadura at the top; País Vasco, Navarra, Aragón at the bottom. Barely changes across 24 years and three economic cycles.</w:t>
      </w:r>
    </w:p>
    <w:p>
      <w:pPr>
        <w:pStyle w:val="ListBullet"/>
        <w:ind w:left="360"/>
      </w:pPr>
      <w:r>
        <w:rPr>
          <w:b/>
        </w:rPr>
        <w:t>Dramatic cyclical amplitude:</w:t>
      </w:r>
      <w:r>
        <w:t xml:space="preserve"> The 2008–2013 crisis appears as a striking dark band across all communities. The 2020 COVID shock is visible but much less pronounced.</w:t>
      </w:r>
    </w:p>
    <w:p>
      <w:pPr>
        <w:pStyle w:val="ListBullet"/>
        <w:ind w:left="360"/>
      </w:pPr>
      <w:r>
        <w:rPr>
          <w:b/>
        </w:rPr>
        <w:t>Unequal cyclical impact:</w:t>
      </w:r>
      <w:r>
        <w:t xml:space="preserve"> Construction-dependent communities experienced the sharpest crisis increases.</w:t>
      </w:r>
    </w:p>
    <w:p>
      <w:pPr>
        <w:pStyle w:val="Heading2"/>
      </w:pPr>
      <w:r>
        <w:t>Unemployment by Age Group (Q6)</w:t>
      </w:r>
    </w:p>
    <w:p>
      <w:pPr>
        <w:jc w:val="center"/>
      </w:pPr>
      <w:r>
        <w:drawing>
          <wp:inline xmlns:a="http://schemas.openxmlformats.org/drawingml/2006/main" xmlns:pic="http://schemas.openxmlformats.org/drawingml/2006/picture">
            <wp:extent cx="5486400" cy="2714241"/>
            <wp:docPr id="7" name="Picture 7"/>
            <wp:cNvGraphicFramePr>
              <a:graphicFrameLocks noChangeAspect="1"/>
            </wp:cNvGraphicFramePr>
            <a:graphic>
              <a:graphicData uri="http://schemas.openxmlformats.org/drawingml/2006/picture">
                <pic:pic>
                  <pic:nvPicPr>
                    <pic:cNvPr id="0" name="07_paro_por_edad.png"/>
                    <pic:cNvPicPr/>
                  </pic:nvPicPr>
                  <pic:blipFill>
                    <a:blip r:embed="rId15"/>
                    <a:stretch>
                      <a:fillRect/>
                    </a:stretch>
                  </pic:blipFill>
                  <pic:spPr>
                    <a:xfrm>
                      <a:off x="0" y="0"/>
                      <a:ext cx="5486400" cy="2714241"/>
                    </a:xfrm>
                    <a:prstGeom prst="rect"/>
                  </pic:spPr>
                </pic:pic>
              </a:graphicData>
            </a:graphic>
          </wp:inline>
        </w:drawing>
      </w:r>
    </w:p>
    <w:p>
      <w:pPr>
        <w:jc w:val="center"/>
      </w:pPr>
      <w:r>
        <w:rPr>
          <w:i/>
          <w:color w:val="606060"/>
          <w:sz w:val="18"/>
        </w:rPr>
        <w:t>Chart 7 — Unemployment rate by age group and sex (period average, 2002–2025)</w:t>
      </w:r>
    </w:p>
    <w:p/>
    <w:p>
      <w:pPr/>
      <w:r>
        <w:t>The age gradient is dramatic and consistent across the full 24-year observation window: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F5496"/>
          </w:tcPr>
          <w:p>
            <w:pPr>
              <w:jc w:val="center"/>
            </w:pPr>
            <w:r/>
            <w:r>
              <w:rPr>
                <w:b/>
                <w:color w:val="FFFFFF"/>
                <w:sz w:val="18"/>
              </w:rPr>
              <w:t>Age group</w:t>
            </w:r>
          </w:p>
        </w:tc>
        <w:tc>
          <w:tcPr>
            <w:tcW w:type="dxa" w:w="2160"/>
            <w:shd w:fill="2F5496"/>
          </w:tcPr>
          <w:p>
            <w:pPr>
              <w:jc w:val="center"/>
            </w:pPr>
            <w:r/>
            <w:r>
              <w:rPr>
                <w:b/>
                <w:color w:val="FFFFFF"/>
                <w:sz w:val="18"/>
              </w:rPr>
              <w:t>Period average</w:t>
            </w:r>
          </w:p>
        </w:tc>
        <w:tc>
          <w:tcPr>
            <w:tcW w:type="dxa" w:w="2592"/>
            <w:shd w:fill="2F5496"/>
          </w:tcPr>
          <w:p>
            <w:pPr>
              <w:jc w:val="center"/>
            </w:pPr>
            <w:r/>
            <w:r>
              <w:rPr>
                <w:b/>
                <w:color w:val="FFFFFF"/>
                <w:sz w:val="18"/>
              </w:rPr>
              <w:t>2013 (crisis peak)</w:t>
            </w:r>
          </w:p>
        </w:tc>
        <w:tc>
          <w:tcPr>
            <w:tcW w:type="dxa" w:w="2448"/>
            <w:shd w:fill="2F5496"/>
          </w:tcPr>
          <w:p>
            <w:pPr>
              <w:jc w:val="center"/>
            </w:pPr>
            <w:r/>
            <w:r>
              <w:rPr>
                <w:b/>
                <w:color w:val="FFFFFF"/>
                <w:sz w:val="18"/>
              </w:rPr>
              <w:t>2025 (latest)</w:t>
            </w:r>
          </w:p>
        </w:tc>
      </w:tr>
      <w:tr>
        <w:tc>
          <w:tcPr>
            <w:tcW w:type="dxa" w:w="2160"/>
            <w:shd w:fill="D6E4F0"/>
          </w:tcPr>
          <w:p>
            <w:r>
              <w:rPr>
                <w:sz w:val="18"/>
              </w:rPr>
            </w:r>
            <w:r>
              <w:rPr>
                <w:sz w:val="18"/>
              </w:rPr>
              <w:t>16–19</w:t>
            </w:r>
          </w:p>
        </w:tc>
        <w:tc>
          <w:tcPr>
            <w:tcW w:type="dxa" w:w="2160"/>
            <w:shd w:fill="D6E4F0"/>
          </w:tcPr>
          <w:p>
            <w:r>
              <w:rPr>
                <w:sz w:val="18"/>
              </w:rPr>
            </w:r>
            <w:r>
              <w:rPr>
                <w:sz w:val="18"/>
              </w:rPr>
              <w:t>~42%</w:t>
            </w:r>
          </w:p>
        </w:tc>
        <w:tc>
          <w:tcPr>
            <w:tcW w:type="dxa" w:w="2592"/>
            <w:shd w:fill="D6E4F0"/>
          </w:tcPr>
          <w:p>
            <w:r>
              <w:rPr>
                <w:sz w:val="18"/>
              </w:rPr>
            </w:r>
            <w:r>
              <w:rPr>
                <w:b/>
                <w:sz w:val="18"/>
              </w:rPr>
              <w:t>74.1%</w:t>
            </w:r>
          </w:p>
        </w:tc>
        <w:tc>
          <w:tcPr>
            <w:tcW w:type="dxa" w:w="2448"/>
            <w:shd w:fill="D6E4F0"/>
          </w:tcPr>
          <w:p>
            <w:r>
              <w:rPr>
                <w:sz w:val="18"/>
              </w:rPr>
            </w:r>
            <w:r>
              <w:rPr>
                <w:sz w:val="18"/>
              </w:rPr>
              <w:t>37.0%</w:t>
            </w:r>
          </w:p>
        </w:tc>
      </w:tr>
      <w:tr>
        <w:tc>
          <w:tcPr>
            <w:tcW w:type="dxa" w:w="2160"/>
          </w:tcPr>
          <w:p>
            <w:r>
              <w:rPr>
                <w:sz w:val="18"/>
              </w:rPr>
            </w:r>
            <w:r>
              <w:rPr>
                <w:sz w:val="18"/>
              </w:rPr>
              <w:t>20–24</w:t>
            </w:r>
          </w:p>
        </w:tc>
        <w:tc>
          <w:tcPr>
            <w:tcW w:type="dxa" w:w="2160"/>
          </w:tcPr>
          <w:p>
            <w:r>
              <w:rPr>
                <w:sz w:val="18"/>
              </w:rPr>
            </w:r>
            <w:r>
              <w:rPr>
                <w:sz w:val="18"/>
              </w:rPr>
              <w:t>~28%</w:t>
            </w:r>
          </w:p>
        </w:tc>
        <w:tc>
          <w:tcPr>
            <w:tcW w:type="dxa" w:w="2592"/>
          </w:tcPr>
          <w:p>
            <w:r>
              <w:rPr>
                <w:sz w:val="18"/>
              </w:rPr>
            </w:r>
            <w:r>
              <w:rPr>
                <w:sz w:val="18"/>
              </w:rPr>
              <w:t>51.8%</w:t>
            </w:r>
          </w:p>
        </w:tc>
        <w:tc>
          <w:tcPr>
            <w:tcW w:type="dxa" w:w="2448"/>
          </w:tcPr>
          <w:p>
            <w:r>
              <w:rPr>
                <w:sz w:val="18"/>
              </w:rPr>
            </w:r>
            <w:r>
              <w:rPr>
                <w:sz w:val="18"/>
              </w:rPr>
              <w:t>22.5%</w:t>
            </w:r>
          </w:p>
        </w:tc>
      </w:tr>
      <w:tr>
        <w:tc>
          <w:tcPr>
            <w:tcW w:type="dxa" w:w="2160"/>
            <w:shd w:fill="D6E4F0"/>
          </w:tcPr>
          <w:p>
            <w:r>
              <w:rPr>
                <w:sz w:val="18"/>
              </w:rPr>
            </w:r>
            <w:r>
              <w:rPr>
                <w:sz w:val="18"/>
              </w:rPr>
              <w:t>25–29</w:t>
            </w:r>
          </w:p>
        </w:tc>
        <w:tc>
          <w:tcPr>
            <w:tcW w:type="dxa" w:w="2160"/>
            <w:shd w:fill="D6E4F0"/>
          </w:tcPr>
          <w:p>
            <w:r>
              <w:rPr>
                <w:sz w:val="18"/>
              </w:rPr>
            </w:r>
            <w:r>
              <w:rPr>
                <w:sz w:val="18"/>
              </w:rPr>
              <w:t>~18%</w:t>
            </w:r>
          </w:p>
        </w:tc>
        <w:tc>
          <w:tcPr>
            <w:tcW w:type="dxa" w:w="2592"/>
            <w:shd w:fill="D6E4F0"/>
          </w:tcPr>
          <w:p>
            <w:r>
              <w:rPr>
                <w:sz w:val="18"/>
              </w:rPr>
            </w:r>
            <w:r>
              <w:rPr>
                <w:sz w:val="18"/>
              </w:rPr>
              <w:t>33.3%</w:t>
            </w:r>
          </w:p>
        </w:tc>
        <w:tc>
          <w:tcPr>
            <w:tcW w:type="dxa" w:w="2448"/>
            <w:shd w:fill="D6E4F0"/>
          </w:tcPr>
          <w:p>
            <w:r>
              <w:rPr>
                <w:sz w:val="18"/>
              </w:rPr>
            </w:r>
            <w:r>
              <w:rPr>
                <w:sz w:val="18"/>
              </w:rPr>
              <w:t>13.7%</w:t>
            </w:r>
          </w:p>
        </w:tc>
      </w:tr>
      <w:tr>
        <w:tc>
          <w:tcPr>
            <w:tcW w:type="dxa" w:w="2160"/>
          </w:tcPr>
          <w:p>
            <w:r>
              <w:rPr>
                <w:sz w:val="18"/>
              </w:rPr>
            </w:r>
            <w:r>
              <w:rPr>
                <w:sz w:val="18"/>
              </w:rPr>
              <w:t>30–54</w:t>
            </w:r>
          </w:p>
        </w:tc>
        <w:tc>
          <w:tcPr>
            <w:tcW w:type="dxa" w:w="2160"/>
          </w:tcPr>
          <w:p>
            <w:r>
              <w:rPr>
                <w:sz w:val="18"/>
              </w:rPr>
            </w:r>
            <w:r>
              <w:rPr>
                <w:sz w:val="18"/>
              </w:rPr>
              <w:t>~12%</w:t>
            </w:r>
          </w:p>
        </w:tc>
        <w:tc>
          <w:tcPr>
            <w:tcW w:type="dxa" w:w="2592"/>
          </w:tcPr>
          <w:p>
            <w:r>
              <w:rPr>
                <w:sz w:val="18"/>
              </w:rPr>
            </w:r>
            <w:r>
              <w:rPr>
                <w:sz w:val="18"/>
              </w:rPr>
              <w:t>~22%</w:t>
            </w:r>
          </w:p>
        </w:tc>
        <w:tc>
          <w:tcPr>
            <w:tcW w:type="dxa" w:w="2448"/>
          </w:tcPr>
          <w:p>
            <w:r>
              <w:rPr>
                <w:sz w:val="18"/>
              </w:rPr>
            </w:r>
            <w:r>
              <w:rPr>
                <w:sz w:val="18"/>
              </w:rPr>
              <w:t>~9%</w:t>
            </w:r>
          </w:p>
        </w:tc>
      </w:tr>
      <w:tr>
        <w:tc>
          <w:tcPr>
            <w:tcW w:type="dxa" w:w="2160"/>
            <w:shd w:fill="D6E4F0"/>
          </w:tcPr>
          <w:p>
            <w:r>
              <w:rPr>
                <w:sz w:val="18"/>
              </w:rPr>
            </w:r>
            <w:r>
              <w:rPr>
                <w:sz w:val="18"/>
              </w:rPr>
              <w:t>55–64</w:t>
            </w:r>
          </w:p>
        </w:tc>
        <w:tc>
          <w:tcPr>
            <w:tcW w:type="dxa" w:w="2160"/>
            <w:shd w:fill="D6E4F0"/>
          </w:tcPr>
          <w:p>
            <w:r>
              <w:rPr>
                <w:sz w:val="18"/>
              </w:rPr>
            </w:r>
            <w:r>
              <w:rPr>
                <w:sz w:val="18"/>
              </w:rPr>
              <w:t>~11%</w:t>
            </w:r>
          </w:p>
        </w:tc>
        <w:tc>
          <w:tcPr>
            <w:tcW w:type="dxa" w:w="2592"/>
            <w:shd w:fill="D6E4F0"/>
          </w:tcPr>
          <w:p>
            <w:r>
              <w:rPr>
                <w:sz w:val="18"/>
              </w:rPr>
            </w:r>
            <w:r>
              <w:rPr>
                <w:sz w:val="18"/>
              </w:rPr>
              <w:t>~20%</w:t>
            </w:r>
          </w:p>
        </w:tc>
        <w:tc>
          <w:tcPr>
            <w:tcW w:type="dxa" w:w="2448"/>
            <w:shd w:fill="D6E4F0"/>
          </w:tcPr>
          <w:p>
            <w:r>
              <w:rPr>
                <w:sz w:val="18"/>
              </w:rPr>
            </w:r>
            <w:r>
              <w:rPr>
                <w:sz w:val="18"/>
              </w:rPr>
              <w:t>~10%</w:t>
            </w:r>
          </w:p>
        </w:tc>
      </w:tr>
      <w:tr>
        <w:tc>
          <w:tcPr>
            <w:tcW w:type="dxa" w:w="2160"/>
          </w:tcPr>
          <w:p>
            <w:r>
              <w:rPr>
                <w:sz w:val="18"/>
              </w:rPr>
            </w:r>
            <w:r>
              <w:rPr>
                <w:b/>
                <w:sz w:val="18"/>
              </w:rPr>
              <w:t>Total (16+)</w:t>
            </w:r>
          </w:p>
        </w:tc>
        <w:tc>
          <w:tcPr>
            <w:tcW w:type="dxa" w:w="2160"/>
          </w:tcPr>
          <w:p>
            <w:r>
              <w:rPr>
                <w:sz w:val="18"/>
              </w:rPr>
            </w:r>
            <w:r>
              <w:rPr>
                <w:sz w:val="18"/>
              </w:rPr>
              <w:t>~14%</w:t>
            </w:r>
          </w:p>
        </w:tc>
        <w:tc>
          <w:tcPr>
            <w:tcW w:type="dxa" w:w="2592"/>
          </w:tcPr>
          <w:p>
            <w:r>
              <w:rPr>
                <w:sz w:val="18"/>
              </w:rPr>
            </w:r>
            <w:r>
              <w:rPr>
                <w:sz w:val="18"/>
              </w:rPr>
              <w:t>26.1%</w:t>
            </w:r>
          </w:p>
        </w:tc>
        <w:tc>
          <w:tcPr>
            <w:tcW w:type="dxa" w:w="2448"/>
          </w:tcPr>
          <w:p>
            <w:r>
              <w:rPr>
                <w:sz w:val="18"/>
              </w:rPr>
            </w:r>
            <w:r>
              <w:rPr>
                <w:sz w:val="18"/>
              </w:rPr>
              <w:t>10.5%</w:t>
            </w:r>
          </w:p>
        </w:tc>
      </w:tr>
    </w:tbl>
    <w:p/>
    <w:p>
      <w:pPr/>
      <w:r>
        <w:t>Youth unemployment (16–19) peaked at 74% in 2013 — three out of four active young people in this age group could not find work. A gender gap exists in every age group, inverted only for 16–19 (male rate slightly higher).</w:t>
      </w:r>
    </w:p>
    <w:p>
      <w:pPr>
        <w:pStyle w:val="Heading2"/>
      </w:pPr>
      <w:r>
        <w:t>Youth Unemployment Evolution (Q7)</w:t>
      </w:r>
    </w:p>
    <w:p>
      <w:pPr>
        <w:jc w:val="center"/>
      </w:pPr>
      <w:r>
        <w:drawing>
          <wp:inline xmlns:a="http://schemas.openxmlformats.org/drawingml/2006/main" xmlns:pic="http://schemas.openxmlformats.org/drawingml/2006/picture">
            <wp:extent cx="5486400" cy="2319347"/>
            <wp:docPr id="8" name="Picture 8"/>
            <wp:cNvGraphicFramePr>
              <a:graphicFrameLocks noChangeAspect="1"/>
            </wp:cNvGraphicFramePr>
            <a:graphic>
              <a:graphicData uri="http://schemas.openxmlformats.org/drawingml/2006/picture">
                <pic:pic>
                  <pic:nvPicPr>
                    <pic:cNvPr id="0" name="08_paro_juvenil_evolucion.png"/>
                    <pic:cNvPicPr/>
                  </pic:nvPicPr>
                  <pic:blipFill>
                    <a:blip r:embed="rId16"/>
                    <a:stretch>
                      <a:fillRect/>
                    </a:stretch>
                  </pic:blipFill>
                  <pic:spPr>
                    <a:xfrm>
                      <a:off x="0" y="0"/>
                      <a:ext cx="5486400" cy="2319347"/>
                    </a:xfrm>
                    <a:prstGeom prst="rect"/>
                  </pic:spPr>
                </pic:pic>
              </a:graphicData>
            </a:graphic>
          </wp:inline>
        </w:drawing>
      </w:r>
    </w:p>
    <w:p>
      <w:pPr>
        <w:jc w:val="center"/>
      </w:pPr>
      <w:r>
        <w:rPr>
          <w:i/>
          <w:color w:val="606060"/>
          <w:sz w:val="18"/>
        </w:rPr>
        <w:t>Chart 8 — Youth unemployment evolution (2002–2025)</w:t>
      </w:r>
    </w:p>
    <w:p/>
    <w:p>
      <w:pPr/>
      <w:r>
        <w:t>The 24-year arc is dramatic:</w:t>
      </w:r>
    </w:p>
    <w:p>
      <w:pPr>
        <w:pStyle w:val="ListBullet"/>
        <w:ind w:left="360"/>
      </w:pPr>
      <w:r>
        <w:rPr>
          <w:b/>
        </w:rPr>
        <w:t>Pre-crisis (2002–2007):</w:t>
      </w:r>
      <w:r>
        <w:t xml:space="preserve"> 16–19 group ~29–30%; 20–24 group ~15–20%; overall ~8–12%</w:t>
      </w:r>
    </w:p>
    <w:p>
      <w:pPr>
        <w:pStyle w:val="ListBullet"/>
        <w:ind w:left="360"/>
      </w:pPr>
      <w:r>
        <w:rPr>
          <w:b/>
        </w:rPr>
        <w:t>Great Recession (2008–2013):</w:t>
      </w:r>
      <w:r>
        <w:t xml:space="preserve"> 16–19 surged to ~74%; 20–24 to ~52%; overall to ~26%</w:t>
      </w:r>
    </w:p>
    <w:p>
      <w:pPr>
        <w:pStyle w:val="ListBullet"/>
        <w:ind w:left="360"/>
      </w:pPr>
      <w:r>
        <w:rPr>
          <w:b/>
        </w:rPr>
        <w:t>Recovery (2014–2019):</w:t>
      </w:r>
      <w:r>
        <w:t xml:space="preserve"> 16–19: ~74% → ~45%; 20–24: ~52% → ~30%; overall: ~26% → ~14%</w:t>
      </w:r>
    </w:p>
    <w:p>
      <w:pPr>
        <w:pStyle w:val="ListBullet"/>
        <w:ind w:left="360"/>
      </w:pPr>
      <w:r>
        <w:rPr>
          <w:b/>
        </w:rPr>
        <w:t>Pandemic and rebound (2020–2025):</w:t>
      </w:r>
      <w:r>
        <w:t xml:space="preserve"> After a brief COVID spike, continued downward trend to 16–19 ~37%; 20–24 ~22%; overall ~10%</w:t>
      </w:r>
    </w:p>
    <w:p/>
    <w:p>
      <w:pPr/>
      <w:r>
        <w:t>Despite this improvement, youth unemployment remains structurally elevated: the 16–19 group (~37%) is roughly 3.5× the national average (~10%), and the 20–24 group (~22%) more than doubles it.</w:t>
      </w:r>
    </w:p>
    <w:p>
      <w:pPr>
        <w:pStyle w:val="Heading2"/>
      </w:pPr>
      <w:r>
        <w:t>Unemployment by Age and Nationality (Q8)</w:t>
      </w:r>
    </w:p>
    <w:p>
      <w:pPr>
        <w:jc w:val="center"/>
      </w:pPr>
      <w:r>
        <w:drawing>
          <wp:inline xmlns:a="http://schemas.openxmlformats.org/drawingml/2006/main" xmlns:pic="http://schemas.openxmlformats.org/drawingml/2006/picture">
            <wp:extent cx="5486400" cy="3167596"/>
            <wp:docPr id="9" name="Picture 9"/>
            <wp:cNvGraphicFramePr>
              <a:graphicFrameLocks noChangeAspect="1"/>
            </wp:cNvGraphicFramePr>
            <a:graphic>
              <a:graphicData uri="http://schemas.openxmlformats.org/drawingml/2006/picture">
                <pic:pic>
                  <pic:nvPicPr>
                    <pic:cNvPr id="0" name="09_paro_edad_nacionalidad.png"/>
                    <pic:cNvPicPr/>
                  </pic:nvPicPr>
                  <pic:blipFill>
                    <a:blip r:embed="rId17"/>
                    <a:stretch>
                      <a:fillRect/>
                    </a:stretch>
                  </pic:blipFill>
                  <pic:spPr>
                    <a:xfrm>
                      <a:off x="0" y="0"/>
                      <a:ext cx="5486400" cy="3167596"/>
                    </a:xfrm>
                    <a:prstGeom prst="rect"/>
                  </pic:spPr>
                </pic:pic>
              </a:graphicData>
            </a:graphic>
          </wp:inline>
        </w:drawing>
      </w:r>
    </w:p>
    <w:p>
      <w:pPr>
        <w:jc w:val="center"/>
      </w:pPr>
      <w:r>
        <w:rPr>
          <w:i/>
          <w:color w:val="606060"/>
          <w:sz w:val="18"/>
        </w:rPr>
        <w:t>Chart 9 — Unemployment rate by age group and nationality (period average, 2002–2025)</w:t>
      </w:r>
    </w:p>
    <w:p/>
    <w:p>
      <w:pPr/>
      <w:r>
        <w:t>Foreign workers face higher unemployment in every age bracket. The gap is smallest among youth (16–24: ~23% vs ~26%) and largest in the 45–54 group (~7% vs ~12%) and 55+ group (~8% vs ~16%, nearly double). The 2008 crisis disproportionately impacted immigrant workers concentrated in the collapsed construction sector. The gap has gradually narrowed since but remains structurally present in 2025.</w:t>
      </w:r>
    </w:p>
    <w:p>
      <w:pPr>
        <w:pStyle w:val="Heading1"/>
      </w:pPr>
      <w:r>
        <w:t>6. Key Findings Summary</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2F5496"/>
          </w:tcPr>
          <w:p>
            <w:pPr>
              <w:jc w:val="center"/>
            </w:pPr>
            <w:r/>
            <w:r>
              <w:rPr>
                <w:b/>
                <w:color w:val="FFFFFF"/>
                <w:sz w:val="18"/>
              </w:rPr>
              <w:t>#</w:t>
            </w:r>
          </w:p>
        </w:tc>
        <w:tc>
          <w:tcPr>
            <w:tcW w:type="dxa" w:w="7344"/>
            <w:shd w:fill="2F5496"/>
          </w:tcPr>
          <w:p>
            <w:pPr>
              <w:jc w:val="center"/>
            </w:pPr>
            <w:r/>
            <w:r>
              <w:rPr>
                <w:b/>
                <w:color w:val="FFFFFF"/>
                <w:sz w:val="18"/>
              </w:rPr>
              <w:t>Finding</w:t>
            </w:r>
          </w:p>
        </w:tc>
        <w:tc>
          <w:tcPr>
            <w:tcW w:type="dxa" w:w="1440"/>
            <w:shd w:fill="2F5496"/>
          </w:tcPr>
          <w:p>
            <w:pPr>
              <w:jc w:val="center"/>
            </w:pPr>
            <w:r/>
            <w:r>
              <w:rPr>
                <w:b/>
                <w:color w:val="FFFFFF"/>
                <w:sz w:val="18"/>
              </w:rPr>
              <w:t>Chart</w:t>
            </w:r>
          </w:p>
        </w:tc>
      </w:tr>
      <w:tr>
        <w:tc>
          <w:tcPr>
            <w:tcW w:type="dxa" w:w="576"/>
            <w:shd w:fill="D6E4F0"/>
          </w:tcPr>
          <w:p>
            <w:r>
              <w:rPr>
                <w:sz w:val="18"/>
              </w:rPr>
            </w:r>
            <w:r>
              <w:rPr>
                <w:sz w:val="18"/>
              </w:rPr>
              <w:t>1</w:t>
            </w:r>
          </w:p>
        </w:tc>
        <w:tc>
          <w:tcPr>
            <w:tcW w:type="dxa" w:w="7344"/>
            <w:shd w:fill="D6E4F0"/>
          </w:tcPr>
          <w:p>
            <w:r>
              <w:rPr>
                <w:sz w:val="18"/>
              </w:rPr>
            </w:r>
            <w:r>
              <w:rPr>
                <w:b/>
                <w:sz w:val="18"/>
              </w:rPr>
              <w:t>Structural territorial inequality</w:t>
            </w:r>
            <w:r>
              <w:rPr>
                <w:sz w:val="18"/>
              </w:rPr>
              <w:t xml:space="preserve"> — Strong North–South divide persists across 24 years and three economic cycles. Andalucía, Extremadura, and Canarias consistently lead; País Vasco and Navarra are consistently lowest. The ranking barely changes.</w:t>
            </w:r>
          </w:p>
        </w:tc>
        <w:tc>
          <w:tcPr>
            <w:tcW w:type="dxa" w:w="1440"/>
            <w:shd w:fill="D6E4F0"/>
          </w:tcPr>
          <w:p>
            <w:r>
              <w:rPr>
                <w:sz w:val="18"/>
              </w:rPr>
            </w:r>
            <w:r>
              <w:rPr>
                <w:sz w:val="18"/>
              </w:rPr>
              <w:t>1, 6</w:t>
            </w:r>
          </w:p>
        </w:tc>
      </w:tr>
      <w:tr>
        <w:tc>
          <w:tcPr>
            <w:tcW w:type="dxa" w:w="576"/>
          </w:tcPr>
          <w:p>
            <w:r>
              <w:rPr>
                <w:sz w:val="18"/>
              </w:rPr>
            </w:r>
            <w:r>
              <w:rPr>
                <w:sz w:val="18"/>
              </w:rPr>
              <w:t>2</w:t>
            </w:r>
          </w:p>
        </w:tc>
        <w:tc>
          <w:tcPr>
            <w:tcW w:type="dxa" w:w="7344"/>
          </w:tcPr>
          <w:p>
            <w:r>
              <w:rPr>
                <w:sz w:val="18"/>
              </w:rPr>
            </w:r>
            <w:r>
              <w:rPr>
                <w:b/>
                <w:sz w:val="18"/>
              </w:rPr>
              <w:t>Persistent but narrowing gender gap</w:t>
            </w:r>
            <w:r>
              <w:rPr>
                <w:sz w:val="18"/>
              </w:rPr>
              <w:t xml:space="preserve"> — Female unemployment consistently higher. The gap narrowed during the 2008 crisis (male sectors hit harder), re-established during recovery, and reached its smallest sustained level (~2–3 pp) by 2025.</w:t>
            </w:r>
          </w:p>
        </w:tc>
        <w:tc>
          <w:tcPr>
            <w:tcW w:type="dxa" w:w="1440"/>
          </w:tcPr>
          <w:p>
            <w:r>
              <w:rPr>
                <w:sz w:val="18"/>
              </w:rPr>
            </w:r>
            <w:r>
              <w:rPr>
                <w:sz w:val="18"/>
              </w:rPr>
              <w:t>2</w:t>
            </w:r>
          </w:p>
        </w:tc>
      </w:tr>
      <w:tr>
        <w:tc>
          <w:tcPr>
            <w:tcW w:type="dxa" w:w="576"/>
            <w:shd w:fill="D6E4F0"/>
          </w:tcPr>
          <w:p>
            <w:r>
              <w:rPr>
                <w:sz w:val="18"/>
              </w:rPr>
            </w:r>
            <w:r>
              <w:rPr>
                <w:sz w:val="18"/>
              </w:rPr>
              <w:t>3</w:t>
            </w:r>
          </w:p>
        </w:tc>
        <w:tc>
          <w:tcPr>
            <w:tcW w:type="dxa" w:w="7344"/>
            <w:shd w:fill="D6E4F0"/>
          </w:tcPr>
          <w:p>
            <w:r>
              <w:rPr>
                <w:sz w:val="18"/>
              </w:rPr>
            </w:r>
            <w:r>
              <w:rPr>
                <w:b/>
                <w:sz w:val="18"/>
              </w:rPr>
              <w:t>Construction boom and bust</w:t>
            </w:r>
            <w:r>
              <w:rPr>
                <w:sz w:val="18"/>
              </w:rPr>
              <w:t xml:space="preserve"> — Construction employment collapsed by 62.7% (2007–2013), the most dramatic sectoral story. Only partially recovered to 1.5M by 2025 (43% below peak). Services rose from ~66% to &gt;76% of total employment.</w:t>
            </w:r>
          </w:p>
        </w:tc>
        <w:tc>
          <w:tcPr>
            <w:tcW w:type="dxa" w:w="1440"/>
            <w:shd w:fill="D6E4F0"/>
          </w:tcPr>
          <w:p>
            <w:r>
              <w:rPr>
                <w:sz w:val="18"/>
              </w:rPr>
            </w:r>
            <w:r>
              <w:rPr>
                <w:sz w:val="18"/>
              </w:rPr>
              <w:t>3</w:t>
            </w:r>
          </w:p>
        </w:tc>
      </w:tr>
      <w:tr>
        <w:tc>
          <w:tcPr>
            <w:tcW w:type="dxa" w:w="576"/>
          </w:tcPr>
          <w:p>
            <w:r>
              <w:rPr>
                <w:sz w:val="18"/>
              </w:rPr>
            </w:r>
            <w:r>
              <w:rPr>
                <w:sz w:val="18"/>
              </w:rPr>
              <w:t>4</w:t>
            </w:r>
          </w:p>
        </w:tc>
        <w:tc>
          <w:tcPr>
            <w:tcW w:type="dxa" w:w="7344"/>
          </w:tcPr>
          <w:p>
            <w:r>
              <w:rPr>
                <w:sz w:val="18"/>
              </w:rPr>
            </w:r>
            <w:r>
              <w:rPr>
                <w:b/>
                <w:sz w:val="18"/>
              </w:rPr>
              <w:t>Full economic cycle</w:t>
            </w:r>
            <w:r>
              <w:rPr>
                <w:sz w:val="18"/>
              </w:rPr>
              <w:t xml:space="preserve"> — Employment: 16.9M (2002) → 20.7M (2007) → 17.1M (2013) → 22.4M (2025 record). Spain lost 3.6M jobs in the Great Recession, surpassed the 2007 peak in 2023, and reached unprecedented levels by 2025.</w:t>
            </w:r>
          </w:p>
        </w:tc>
        <w:tc>
          <w:tcPr>
            <w:tcW w:type="dxa" w:w="1440"/>
          </w:tcPr>
          <w:p>
            <w:r>
              <w:rPr>
                <w:sz w:val="18"/>
              </w:rPr>
            </w:r>
            <w:r>
              <w:rPr>
                <w:sz w:val="18"/>
              </w:rPr>
              <w:t>4, 5</w:t>
            </w:r>
          </w:p>
        </w:tc>
      </w:tr>
      <w:tr>
        <w:tc>
          <w:tcPr>
            <w:tcW w:type="dxa" w:w="576"/>
            <w:shd w:fill="D6E4F0"/>
          </w:tcPr>
          <w:p>
            <w:r>
              <w:rPr>
                <w:sz w:val="18"/>
              </w:rPr>
            </w:r>
            <w:r>
              <w:rPr>
                <w:sz w:val="18"/>
              </w:rPr>
              <w:t>5</w:t>
            </w:r>
          </w:p>
        </w:tc>
        <w:tc>
          <w:tcPr>
            <w:tcW w:type="dxa" w:w="7344"/>
            <w:shd w:fill="D6E4F0"/>
          </w:tcPr>
          <w:p>
            <w:r>
              <w:rPr>
                <w:sz w:val="18"/>
              </w:rPr>
            </w:r>
            <w:r>
              <w:rPr>
                <w:b/>
                <w:sz w:val="18"/>
              </w:rPr>
              <w:t>Employment concentration</w:t>
            </w:r>
            <w:r>
              <w:rPr>
                <w:sz w:val="18"/>
              </w:rPr>
              <w:t xml:space="preserve"> — Madrid and Barcelona account for ~25% of national employment. The </w:t>
            </w:r>
            <w:r>
              <w:rPr>
                <w:i/>
                <w:sz w:val="18"/>
              </w:rPr>
              <w:t>España Vacía</w:t>
            </w:r>
            <w:r>
              <w:rPr>
                <w:sz w:val="18"/>
              </w:rPr>
              <w:t xml:space="preserve"> challenge persists across all 96 quarters.</w:t>
            </w:r>
          </w:p>
        </w:tc>
        <w:tc>
          <w:tcPr>
            <w:tcW w:type="dxa" w:w="1440"/>
            <w:shd w:fill="D6E4F0"/>
          </w:tcPr>
          <w:p>
            <w:r>
              <w:rPr>
                <w:sz w:val="18"/>
              </w:rPr>
            </w:r>
            <w:r>
              <w:rPr>
                <w:sz w:val="18"/>
              </w:rPr>
              <w:t>4</w:t>
            </w:r>
          </w:p>
        </w:tc>
      </w:tr>
      <w:tr>
        <w:tc>
          <w:tcPr>
            <w:tcW w:type="dxa" w:w="576"/>
          </w:tcPr>
          <w:p>
            <w:r>
              <w:rPr>
                <w:sz w:val="18"/>
              </w:rPr>
            </w:r>
            <w:r>
              <w:rPr>
                <w:sz w:val="18"/>
              </w:rPr>
              <w:t>6</w:t>
            </w:r>
          </w:p>
        </w:tc>
        <w:tc>
          <w:tcPr>
            <w:tcW w:type="dxa" w:w="7344"/>
          </w:tcPr>
          <w:p>
            <w:r>
              <w:rPr>
                <w:sz w:val="18"/>
              </w:rPr>
            </w:r>
            <w:r>
              <w:rPr>
                <w:b/>
                <w:sz w:val="18"/>
              </w:rPr>
              <w:t>Extreme youth unemployment</w:t>
            </w:r>
            <w:r>
              <w:rPr>
                <w:sz w:val="18"/>
              </w:rPr>
              <w:t xml:space="preserve"> — 16–19 group averaged ~42% over 24 years, peaking at 74% in 2013. Even at 2025 levels (~37%), it is 3.5× the national average. The age gradient is the strongest predictor of unemployment in Spain.</w:t>
            </w:r>
          </w:p>
        </w:tc>
        <w:tc>
          <w:tcPr>
            <w:tcW w:type="dxa" w:w="1440"/>
          </w:tcPr>
          <w:p>
            <w:r>
              <w:rPr>
                <w:sz w:val="18"/>
              </w:rPr>
            </w:r>
            <w:r>
              <w:rPr>
                <w:sz w:val="18"/>
              </w:rPr>
              <w:t>7</w:t>
            </w:r>
          </w:p>
        </w:tc>
      </w:tr>
      <w:tr>
        <w:tc>
          <w:tcPr>
            <w:tcW w:type="dxa" w:w="576"/>
            <w:shd w:fill="D6E4F0"/>
          </w:tcPr>
          <w:p>
            <w:r>
              <w:rPr>
                <w:sz w:val="18"/>
              </w:rPr>
            </w:r>
            <w:r>
              <w:rPr>
                <w:sz w:val="18"/>
              </w:rPr>
              <w:t>7</w:t>
            </w:r>
          </w:p>
        </w:tc>
        <w:tc>
          <w:tcPr>
            <w:tcW w:type="dxa" w:w="7344"/>
            <w:shd w:fill="D6E4F0"/>
          </w:tcPr>
          <w:p>
            <w:r>
              <w:rPr>
                <w:sz w:val="18"/>
              </w:rPr>
            </w:r>
            <w:r>
              <w:rPr>
                <w:b/>
                <w:sz w:val="18"/>
              </w:rPr>
              <w:t>Dramatic youth improvement from crisis peaks</w:t>
            </w:r>
            <w:r>
              <w:rPr>
                <w:sz w:val="18"/>
              </w:rPr>
              <w:t xml:space="preserve"> — 16–19: 74% → 37%; 20–24: 52% → 22% (2013→2025). Still 2–3.5× the overall rate.</w:t>
            </w:r>
          </w:p>
        </w:tc>
        <w:tc>
          <w:tcPr>
            <w:tcW w:type="dxa" w:w="1440"/>
            <w:shd w:fill="D6E4F0"/>
          </w:tcPr>
          <w:p>
            <w:r>
              <w:rPr>
                <w:sz w:val="18"/>
              </w:rPr>
            </w:r>
            <w:r>
              <w:rPr>
                <w:sz w:val="18"/>
              </w:rPr>
              <w:t>8</w:t>
            </w:r>
          </w:p>
        </w:tc>
      </w:tr>
      <w:tr>
        <w:tc>
          <w:tcPr>
            <w:tcW w:type="dxa" w:w="576"/>
          </w:tcPr>
          <w:p>
            <w:r>
              <w:rPr>
                <w:sz w:val="18"/>
              </w:rPr>
            </w:r>
            <w:r>
              <w:rPr>
                <w:sz w:val="18"/>
              </w:rPr>
              <w:t>8</w:t>
            </w:r>
          </w:p>
        </w:tc>
        <w:tc>
          <w:tcPr>
            <w:tcW w:type="dxa" w:w="7344"/>
          </w:tcPr>
          <w:p>
            <w:r>
              <w:rPr>
                <w:sz w:val="18"/>
              </w:rPr>
            </w:r>
            <w:r>
              <w:rPr>
                <w:b/>
                <w:sz w:val="18"/>
              </w:rPr>
              <w:t>Nationality gap across all age groups</w:t>
            </w:r>
            <w:r>
              <w:rPr>
                <w:sz w:val="18"/>
              </w:rPr>
              <w:t xml:space="preserve"> — Foreign workers have higher unemployment rates. The gap widened during the 2008 crisis and has gradually narrowed since, but remains structural in 2025.</w:t>
            </w:r>
          </w:p>
        </w:tc>
        <w:tc>
          <w:tcPr>
            <w:tcW w:type="dxa" w:w="1440"/>
          </w:tcPr>
          <w:p>
            <w:r>
              <w:rPr>
                <w:sz w:val="18"/>
              </w:rPr>
            </w:r>
            <w:r>
              <w:rPr>
                <w:sz w:val="18"/>
              </w:rPr>
              <w:t>9</w:t>
            </w:r>
          </w:p>
        </w:tc>
      </w:tr>
    </w:tbl>
    <w:p>
      <w:pPr>
        <w:pStyle w:val="Heading1"/>
      </w:pPr>
      <w:r>
        <w:t>7. Additional Findings</w:t>
      </w:r>
    </w:p>
    <w:p>
      <w:pPr>
        <w:pStyle w:val="Heading2"/>
      </w:pPr>
      <w:r>
        <w:t>The Construction Bubble and Its Labour Market Legacy</w:t>
      </w:r>
    </w:p>
    <w:p>
      <w:pPr/>
      <w:r>
        <w:t>The construction sector grew from ~1.8 million workers (2002) to a peak of 2.7 million (2007), then collapsed by 62.7% to just 1.0 million (2013). By 2025, construction employs approximately 1.5 million — still 43% below its 2007 peak. Its share of total employment shrank from ~13% (2007) to ~7% (2025). The permanent downsizing has had lasting effects on provinces most dependent on the sector and on demographics most affected (young men, immigrant workers).</w:t>
      </w:r>
    </w:p>
    <w:p>
      <w:pPr>
        <w:pStyle w:val="Heading2"/>
      </w:pPr>
      <w:r>
        <w:t>The 2008–2013 Great Recession: Scale and Duration</w:t>
      </w:r>
    </w:p>
    <w:p>
      <w:pPr/>
      <w:r>
        <w:t>Unemployment tripled from 7.93% (Q1 2007) to 26.06% (Q1 2013). The crisis destroyed 3.6 million jobs over five years, with unemployment exceeding 20% for 16 consecutive quarters (Q1 2010 through Q4 2013). The sheer duration distinguishes Spain's experience from other European countries, reflecting the combined impact of the global financial crisis and Spain's domestic housing bubble burst.</w:t>
      </w:r>
    </w:p>
    <w:p>
      <w:pPr>
        <w:pStyle w:val="Heading2"/>
      </w:pPr>
      <w:r>
        <w:t>Labour Market Flexibility (2020)</w:t>
      </w:r>
    </w:p>
    <w:p>
      <w:pPr/>
      <w:r>
        <w:t>The response to the 2020 COVID-19 shock was markedly different from 2008. ERTEs preserved employment contracts for millions of workers. The 2020 unemployment spike was comparatively mild (~16% vs ~26% in 2013) despite a GDP contraction of −10.8%. The recovery was dramatically faster: pre-pandemic levels regained by late 2021, compared to the decade-long recovery from 2008.</w:t>
      </w:r>
    </w:p>
    <w:p>
      <w:pPr>
        <w:pStyle w:val="Heading2"/>
      </w:pPr>
      <w:r>
        <w:t>The 2021 Labour Reform Impact</w:t>
      </w:r>
    </w:p>
    <w:p>
      <w:pPr/>
      <w:r>
        <w:t xml:space="preserve">The 2021 </w:t>
      </w:r>
      <w:r>
        <w:rPr>
          <w:i/>
        </w:rPr>
        <w:t>Reforma Laboral</w:t>
      </w:r>
      <w:r>
        <w:t xml:space="preserve"> aimed to reduce temporary employment. Data from 2022 onward shows sustained growth and continued unemployment reduction. Employment reached record highs (22.4 million) while unemployment fell below 10% for the first time since 2007 — suggesting a favourable structural shift, though aggregate EPA data does not distinguish contract types.</w:t>
      </w:r>
    </w:p>
    <w:p>
      <w:pPr>
        <w:pStyle w:val="Heading2"/>
      </w:pPr>
      <w:r>
        <w:t>Services Sector Dominance</w:t>
      </w:r>
    </w:p>
    <w:p>
      <w:pPr/>
      <w:r>
        <w:t>Services have grown from ~66% of total employment (2007) to over 76% (2025), absorbing the workforce displaced from construction while adding new employment. This reflects a modern economy but creates vulnerability to sector-specific shocks, as the 2020 pandemic demonstrated — though the 2020 shock proved far more temporary than the 2008 construction collapse.</w:t>
      </w:r>
    </w:p>
    <w:p>
      <w:pPr>
        <w:pStyle w:val="Heading2"/>
      </w:pPr>
      <w:r>
        <w:t>The 'Empty Spain' Challenge</w:t>
      </w:r>
    </w:p>
    <w:p>
      <w:pPr/>
      <w:r>
        <w:t xml:space="preserve">The extreme concentration of employment in Madrid and Barcelona reflects the broader </w:t>
      </w:r>
      <w:r>
        <w:rPr>
          <w:i/>
        </w:rPr>
        <w:t>España Vacía</w:t>
      </w:r>
      <w:r>
        <w:t xml:space="preserve"> demographic challenge. Interior and rural provinces face declining populations that make local economic revitalization increasingly difficult. This structural imbalance has been a constant feature across all 96 quarters.</w:t>
      </w:r>
    </w:p>
    <w:p>
      <w:pPr>
        <w:pStyle w:val="Heading2"/>
      </w:pPr>
      <w:r>
        <w:t>Immigration and the Labour Market</w:t>
      </w:r>
    </w:p>
    <w:p>
      <w:pPr/>
      <w:r>
        <w:t>The 2002–2025 period coincides with Spain's transformation into a country of net immigration. The foreign-born population grew rapidly between 2002 and 2008, with immigrants concentrating in construction, agriculture, and hospitality. The 2008 crisis disproportionately impacted these workers (foreign unemployment rates exceeded 35% in 2013). The 2014–2025 recovery has seen renewed immigration and some narrowing of the nationality gap, but foreign workers remain more vulnerable to cyclical downturns.</w:t>
      </w:r>
    </w:p>
    <w:p>
      <w:pPr>
        <w:pStyle w:val="Heading1"/>
      </w:pPr>
      <w:r>
        <w:t>8. Data Quality Report</w:t>
      </w:r>
    </w:p>
    <w:p>
      <w:pPr/>
      <w:r>
        <w:rPr>
          <w:b/>
        </w:rPr>
        <w:t>Issues found and solutions applied:</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2F5496"/>
          </w:tcPr>
          <w:p>
            <w:pPr>
              <w:jc w:val="center"/>
            </w:pPr>
            <w:r/>
            <w:r>
              <w:rPr>
                <w:b/>
                <w:color w:val="FFFFFF"/>
                <w:sz w:val="18"/>
              </w:rPr>
              <w:t>Issue</w:t>
            </w:r>
          </w:p>
        </w:tc>
        <w:tc>
          <w:tcPr>
            <w:tcW w:type="dxa" w:w="3168"/>
            <w:shd w:fill="2F5496"/>
          </w:tcPr>
          <w:p>
            <w:pPr>
              <w:jc w:val="center"/>
            </w:pPr>
            <w:r/>
            <w:r>
              <w:rPr>
                <w:b/>
                <w:color w:val="FFFFFF"/>
                <w:sz w:val="18"/>
              </w:rPr>
              <w:t>Fix</w:t>
            </w:r>
          </w:p>
        </w:tc>
        <w:tc>
          <w:tcPr>
            <w:tcW w:type="dxa" w:w="3024"/>
            <w:shd w:fill="2F5496"/>
          </w:tcPr>
          <w:p>
            <w:pPr>
              <w:jc w:val="center"/>
            </w:pPr>
            <w:r/>
            <w:r>
              <w:rPr>
                <w:b/>
                <w:color w:val="FFFFFF"/>
                <w:sz w:val="18"/>
              </w:rPr>
              <w:t>Impact</w:t>
            </w:r>
          </w:p>
        </w:tc>
      </w:tr>
      <w:tr>
        <w:tc>
          <w:tcPr>
            <w:tcW w:type="dxa" w:w="3168"/>
            <w:shd w:fill="D6E4F0"/>
          </w:tcPr>
          <w:p>
            <w:r>
              <w:rPr>
                <w:sz w:val="18"/>
              </w:rPr>
            </w:r>
            <w:r>
              <w:rPr>
                <w:sz w:val="18"/>
              </w:rPr>
              <w:t>5 mixed date formats (ISO, dd/mm, yyyy/mm, textual, ms)</w:t>
            </w:r>
          </w:p>
        </w:tc>
        <w:tc>
          <w:tcPr>
            <w:tcW w:type="dxa" w:w="3168"/>
            <w:shd w:fill="D6E4F0"/>
          </w:tcPr>
          <w:p>
            <w:r>
              <w:rPr>
                <w:sz w:val="18"/>
              </w:rPr>
            </w:r>
            <w:r>
              <w:rPr>
                <w:sz w:val="18"/>
              </w:rPr>
              <w:t>Custom multi-format parser with fallbacks</w:t>
            </w:r>
          </w:p>
        </w:tc>
        <w:tc>
          <w:tcPr>
            <w:tcW w:type="dxa" w:w="3024"/>
            <w:shd w:fill="D6E4F0"/>
          </w:tcPr>
          <w:p>
            <w:r>
              <w:rPr>
                <w:sz w:val="18"/>
              </w:rPr>
            </w:r>
            <w:r>
              <w:rPr>
                <w:sz w:val="18"/>
              </w:rPr>
              <w:t>100% recovery</w:t>
            </w:r>
          </w:p>
        </w:tc>
      </w:tr>
      <w:tr>
        <w:tc>
          <w:tcPr>
            <w:tcW w:type="dxa" w:w="3168"/>
          </w:tcPr>
          <w:p>
            <w:r>
              <w:rPr>
                <w:sz w:val="18"/>
              </w:rPr>
            </w:r>
            <w:r>
              <w:rPr>
                <w:sz w:val="18"/>
              </w:rPr>
              <w:t>Comma decimal separators (~10%)</w:t>
            </w:r>
          </w:p>
        </w:tc>
        <w:tc>
          <w:tcPr>
            <w:tcW w:type="dxa" w:w="3168"/>
          </w:tcPr>
          <w:p>
            <w:r>
              <w:rPr>
                <w:sz w:val="18"/>
              </w:rPr>
            </w:r>
            <w:r>
              <w:rPr>
                <w:rFonts w:ascii="Consolas" w:hAnsi="Consolas"/>
                <w:color w:val="800000"/>
                <w:sz w:val="18"/>
              </w:rPr>
              <w:t>.str.replace(",", ".")</w:t>
            </w:r>
            <w:r>
              <w:rPr>
                <w:sz w:val="18"/>
              </w:rPr>
              <w:t xml:space="preserve"> + </w:t>
            </w:r>
            <w:r>
              <w:rPr>
                <w:rFonts w:ascii="Consolas" w:hAnsi="Consolas"/>
                <w:color w:val="800000"/>
                <w:sz w:val="18"/>
              </w:rPr>
              <w:t>pd.to_numeric</w:t>
            </w:r>
          </w:p>
        </w:tc>
        <w:tc>
          <w:tcPr>
            <w:tcW w:type="dxa" w:w="3024"/>
          </w:tcPr>
          <w:p>
            <w:r>
              <w:rPr>
                <w:sz w:val="18"/>
              </w:rPr>
            </w:r>
            <w:r>
              <w:rPr>
                <w:sz w:val="18"/>
              </w:rPr>
              <w:t>100% recovery</w:t>
            </w:r>
          </w:p>
        </w:tc>
      </w:tr>
      <w:tr>
        <w:tc>
          <w:tcPr>
            <w:tcW w:type="dxa" w:w="3168"/>
            <w:shd w:fill="D6E4F0"/>
          </w:tcPr>
          <w:p>
            <w:r>
              <w:rPr>
                <w:sz w:val="18"/>
              </w:rPr>
            </w:r>
            <w:r>
              <w:rPr>
                <w:sz w:val="18"/>
              </w:rPr>
              <w:t>Inconsistent casing (UPPER/Title)</w:t>
            </w:r>
          </w:p>
        </w:tc>
        <w:tc>
          <w:tcPr>
            <w:tcW w:type="dxa" w:w="3168"/>
            <w:shd w:fill="D6E4F0"/>
          </w:tcPr>
          <w:p>
            <w:r>
              <w:rPr>
                <w:sz w:val="18"/>
              </w:rPr>
            </w:r>
            <w:r>
              <w:rPr>
                <w:sz w:val="18"/>
              </w:rPr>
              <w:t>Lowercased for matching + canonical province map</w:t>
            </w:r>
          </w:p>
        </w:tc>
        <w:tc>
          <w:tcPr>
            <w:tcW w:type="dxa" w:w="3024"/>
            <w:shd w:fill="D6E4F0"/>
          </w:tcPr>
          <w:p>
            <w:r>
              <w:rPr>
                <w:sz w:val="18"/>
              </w:rPr>
            </w:r>
            <w:r>
              <w:rPr>
                <w:sz w:val="18"/>
              </w:rPr>
              <w:t>All variants normalized</w:t>
            </w:r>
          </w:p>
        </w:tc>
      </w:tr>
      <w:tr>
        <w:tc>
          <w:tcPr>
            <w:tcW w:type="dxa" w:w="3168"/>
          </w:tcPr>
          <w:p>
            <w:r>
              <w:rPr>
                <w:sz w:val="18"/>
              </w:rPr>
            </w:r>
            <w:r>
              <w:rPr>
                <w:sz w:val="18"/>
              </w:rPr>
              <w:t>Extra whitespace in names (~3%)</w:t>
            </w:r>
          </w:p>
        </w:tc>
        <w:tc>
          <w:tcPr>
            <w:tcW w:type="dxa" w:w="3168"/>
          </w:tcPr>
          <w:p>
            <w:r>
              <w:rPr>
                <w:sz w:val="18"/>
              </w:rPr>
            </w:r>
            <w:r>
              <w:rPr>
                <w:rFonts w:ascii="Consolas" w:hAnsi="Consolas"/>
                <w:color w:val="800000"/>
                <w:sz w:val="18"/>
              </w:rPr>
              <w:t>str.strip()</w:t>
            </w:r>
            <w:r>
              <w:rPr>
                <w:sz w:val="18"/>
              </w:rPr>
              <w:t xml:space="preserve"> before parsing</w:t>
            </w:r>
          </w:p>
        </w:tc>
        <w:tc>
          <w:tcPr>
            <w:tcW w:type="dxa" w:w="3024"/>
          </w:tcPr>
          <w:p>
            <w:r>
              <w:rPr>
                <w:sz w:val="18"/>
              </w:rPr>
            </w:r>
            <w:r>
              <w:rPr>
                <w:sz w:val="18"/>
              </w:rPr>
              <w:t>100% cleanup</w:t>
            </w:r>
          </w:p>
        </w:tc>
      </w:tr>
      <w:tr>
        <w:tc>
          <w:tcPr>
            <w:tcW w:type="dxa" w:w="3168"/>
            <w:shd w:fill="D6E4F0"/>
          </w:tcPr>
          <w:p>
            <w:r>
              <w:rPr>
                <w:sz w:val="18"/>
              </w:rPr>
            </w:r>
            <w:r>
              <w:rPr>
                <w:sz w:val="18"/>
              </w:rPr>
              <w:t>All dimensions packed in one string (100%)</w:t>
            </w:r>
          </w:p>
        </w:tc>
        <w:tc>
          <w:tcPr>
            <w:tcW w:type="dxa" w:w="3168"/>
            <w:shd w:fill="D6E4F0"/>
          </w:tcPr>
          <w:p>
            <w:r>
              <w:rPr>
                <w:sz w:val="18"/>
              </w:rPr>
            </w:r>
            <w:r>
              <w:rPr>
                <w:sz w:val="18"/>
              </w:rPr>
              <w:t>Table-specific regex parsers extracting province, sex, activity</w:t>
            </w:r>
          </w:p>
        </w:tc>
        <w:tc>
          <w:tcPr>
            <w:tcW w:type="dxa" w:w="3024"/>
            <w:shd w:fill="D6E4F0"/>
          </w:tcPr>
          <w:p>
            <w:r>
              <w:rPr>
                <w:sz w:val="18"/>
              </w:rPr>
            </w:r>
            <w:r>
              <w:rPr>
                <w:sz w:val="18"/>
              </w:rPr>
              <w:t>3 structured columns created</w:t>
            </w:r>
          </w:p>
        </w:tc>
      </w:tr>
      <w:tr>
        <w:tc>
          <w:tcPr>
            <w:tcW w:type="dxa" w:w="3168"/>
          </w:tcPr>
          <w:p>
            <w:r>
              <w:rPr>
                <w:sz w:val="18"/>
              </w:rPr>
            </w:r>
            <w:r>
              <w:rPr>
                <w:sz w:val="18"/>
              </w:rPr>
              <w:t>Dirty column names (8 of 8)</w:t>
            </w:r>
          </w:p>
        </w:tc>
        <w:tc>
          <w:tcPr>
            <w:tcW w:type="dxa" w:w="3168"/>
          </w:tcPr>
          <w:p>
            <w:r>
              <w:rPr>
                <w:sz w:val="18"/>
              </w:rPr>
            </w:r>
            <w:r>
              <w:rPr>
                <w:sz w:val="18"/>
              </w:rPr>
              <w:t>Strip + lowercase + underscore</w:t>
            </w:r>
          </w:p>
        </w:tc>
        <w:tc>
          <w:tcPr>
            <w:tcW w:type="dxa" w:w="3024"/>
          </w:tcPr>
          <w:p>
            <w:r>
              <w:rPr>
                <w:sz w:val="18"/>
              </w:rPr>
            </w:r>
            <w:r>
              <w:rPr>
                <w:sz w:val="18"/>
              </w:rPr>
              <w:t>All standardized</w:t>
            </w:r>
          </w:p>
        </w:tc>
      </w:tr>
      <w:tr>
        <w:tc>
          <w:tcPr>
            <w:tcW w:type="dxa" w:w="3168"/>
            <w:shd w:fill="D6E4F0"/>
          </w:tcPr>
          <w:p>
            <w:r>
              <w:rPr>
                <w:sz w:val="18"/>
              </w:rPr>
            </w:r>
            <w:r>
              <w:rPr>
                <w:sz w:val="18"/>
              </w:rPr>
              <w:t>Duplicate rows</w:t>
            </w:r>
          </w:p>
        </w:tc>
        <w:tc>
          <w:tcPr>
            <w:tcW w:type="dxa" w:w="3168"/>
            <w:shd w:fill="D6E4F0"/>
          </w:tcPr>
          <w:p>
            <w:r>
              <w:rPr>
                <w:sz w:val="18"/>
              </w:rPr>
            </w:r>
            <w:r>
              <w:rPr>
                <w:rFonts w:ascii="Consolas" w:hAnsi="Consolas"/>
                <w:color w:val="800000"/>
                <w:sz w:val="18"/>
              </w:rPr>
              <w:t>drop_duplicates</w:t>
            </w:r>
            <w:r>
              <w:rPr>
                <w:sz w:val="18"/>
              </w:rPr>
              <w:t xml:space="preserve"> on composite key</w:t>
            </w:r>
          </w:p>
        </w:tc>
        <w:tc>
          <w:tcPr>
            <w:tcW w:type="dxa" w:w="3024"/>
            <w:shd w:fill="D6E4F0"/>
          </w:tcPr>
          <w:p>
            <w:r>
              <w:rPr>
                <w:sz w:val="18"/>
              </w:rPr>
            </w:r>
            <w:r>
              <w:rPr>
                <w:sz w:val="18"/>
              </w:rPr>
              <w:t>Removed without data loss</w:t>
            </w:r>
          </w:p>
        </w:tc>
      </w:tr>
      <w:tr>
        <w:tc>
          <w:tcPr>
            <w:tcW w:type="dxa" w:w="3168"/>
          </w:tcPr>
          <w:p>
            <w:r>
              <w:rPr>
                <w:sz w:val="18"/>
              </w:rPr>
            </w:r>
            <w:r>
              <w:rPr>
                <w:sz w:val="18"/>
              </w:rPr>
              <w:t>~3% null values in value</w:t>
            </w:r>
          </w:p>
        </w:tc>
        <w:tc>
          <w:tcPr>
            <w:tcW w:type="dxa" w:w="3168"/>
          </w:tcPr>
          <w:p>
            <w:r>
              <w:rPr>
                <w:sz w:val="18"/>
              </w:rPr>
            </w:r>
            <w:r>
              <w:rPr>
                <w:sz w:val="18"/>
              </w:rPr>
              <w:t>Kept as NaN (not imputed)</w:t>
            </w:r>
          </w:p>
        </w:tc>
        <w:tc>
          <w:tcPr>
            <w:tcW w:type="dxa" w:w="3024"/>
          </w:tcPr>
          <w:p>
            <w:r>
              <w:rPr>
                <w:sz w:val="18"/>
              </w:rPr>
            </w:r>
            <w:r>
              <w:rPr>
                <w:sz w:val="18"/>
              </w:rPr>
              <w:t>Preserves data integrity</w:t>
            </w:r>
          </w:p>
        </w:tc>
      </w:tr>
    </w:tbl>
    <w:p/>
    <w:p>
      <w:pPr/>
      <w:r>
        <w:t>The cleaning pipeline is fully deterministic and reproducible.</w:t>
      </w:r>
    </w:p>
    <w:p>
      <w:pPr>
        <w:pStyle w:val="Heading1"/>
      </w:pPr>
      <w:r>
        <w:t>9. Conclusions</w:t>
      </w:r>
    </w:p>
    <w:p>
      <w:pPr>
        <w:pStyle w:val="ListNumber"/>
      </w:pPr>
      <w:r>
        <w:rPr>
          <w:b/>
        </w:rPr>
        <w:t>Spain's unemployment geography is structural and persistent.</w:t>
      </w:r>
      <w:r>
        <w:t xml:space="preserve"> The north–south divide has barely changed in 24 years, surviving a housing bubble, financial crisis, pandemic, and record recovery. This is the strongest finding in the entire analysis.</w:t>
      </w:r>
    </w:p>
    <w:p>
      <w:pPr>
        <w:pStyle w:val="ListNumber"/>
      </w:pPr>
      <w:r>
        <w:rPr>
          <w:b/>
        </w:rPr>
        <w:t>The full economic cycle reveals extraordinary volatility.</w:t>
      </w:r>
      <w:r>
        <w:t xml:space="preserve"> Unemployment swung from 7.93% (Q1 2007) to 26.06% (Q1 2013) to 9.93% (Q3 2025) — a range of 18 percentage points. Total employment oscillated from 20.7M to 17.1M to a record 22.4M.</w:t>
      </w:r>
    </w:p>
    <w:p>
      <w:pPr>
        <w:pStyle w:val="ListNumber"/>
      </w:pPr>
      <w:r>
        <w:rPr>
          <w:b/>
        </w:rPr>
        <w:t>The construction boom and bust is the most dramatic sectoral story.</w:t>
      </w:r>
      <w:r>
        <w:t xml:space="preserve"> Construction employment collapsed by 62.7% (2007–2013) and has only partially recovered. The permanent downsizing reshaped Spain's employment landscape.</w:t>
      </w:r>
    </w:p>
    <w:p>
      <w:pPr>
        <w:pStyle w:val="ListNumber"/>
      </w:pPr>
      <w:r>
        <w:rPr>
          <w:b/>
        </w:rPr>
        <w:t>The gender gap is real but narrowing.</w:t>
      </w:r>
      <w:r>
        <w:t xml:space="preserve"> By 2025, the gap stands at ~2–3 pp — the smallest sustained level in 24 years.</w:t>
      </w:r>
    </w:p>
    <w:p>
      <w:pPr>
        <w:pStyle w:val="ListNumber"/>
      </w:pPr>
      <w:r>
        <w:rPr>
          <w:b/>
        </w:rPr>
        <w:t>Spain is extremely and increasingly tertiarized,</w:t>
      </w:r>
      <w:r>
        <w:t xml:space="preserve"> with services growing from ~66% to &gt;76% of employment.</w:t>
      </w:r>
    </w:p>
    <w:p>
      <w:pPr>
        <w:pStyle w:val="ListNumber"/>
      </w:pPr>
      <w:r>
        <w:rPr>
          <w:b/>
        </w:rPr>
        <w:t>Employment reached all-time highs.</w:t>
      </w:r>
      <w:r>
        <w:t xml:space="preserve"> Total employment exceeded 22M by 2025, surpassing the 2007 peak by ~1.7M. Unemployment broke below 10% in Q3 2025 for the first time since the pre-2008 era.</w:t>
      </w:r>
    </w:p>
    <w:p>
      <w:pPr>
        <w:pStyle w:val="ListNumber"/>
      </w:pPr>
      <w:r>
        <w:rPr>
          <w:b/>
        </w:rPr>
        <w:t>Age is the strongest predictor of unemployment.</w:t>
      </w:r>
      <w:r>
        <w:t xml:space="preserve"> Youth (16–19) averaged ~42% unemployment over 24 years, peaking at 74% in 2013.</w:t>
      </w:r>
    </w:p>
    <w:p>
      <w:pPr>
        <w:pStyle w:val="ListNumber"/>
      </w:pPr>
      <w:r>
        <w:rPr>
          <w:b/>
        </w:rPr>
        <w:t>Youth unemployment improved dramatically from crisis peaks but remains structurally extreme</w:t>
      </w:r>
      <w:r>
        <w:t xml:space="preserve"> — still 2–3.5× the national average in 2025.</w:t>
      </w:r>
    </w:p>
    <w:p>
      <w:pPr>
        <w:pStyle w:val="ListNumber"/>
      </w:pPr>
      <w:r>
        <w:rPr>
          <w:b/>
        </w:rPr>
        <w:t>The nationality gap is structural and age-dependent.</w:t>
      </w:r>
      <w:r>
        <w:t xml:space="preserve"> Foreign workers face higher unemployment across all age groups.</w:t>
      </w:r>
    </w:p>
    <w:p>
      <w:pPr>
        <w:pStyle w:val="ListNumber"/>
      </w:pPr>
      <w:r>
        <w:rPr>
          <w:b/>
        </w:rPr>
        <w:t>Data quality matters</w:t>
      </w:r>
      <w:r>
        <w:t xml:space="preserve"> — even official INE data requires significant cleaning when accessed via API. This project dealt with 5 date formats, packed series names, inconsistent casing, and structural parsing.</w:t>
      </w:r>
    </w:p>
    <w:p>
      <w:pPr>
        <w:pStyle w:val="Heading1"/>
      </w:pPr>
      <w:r>
        <w:t>10. Design Rationale</w:t>
      </w:r>
    </w:p>
    <w:p>
      <w:pPr>
        <w:pStyle w:val="ListBullet"/>
        <w:ind w:left="360"/>
      </w:pPr>
      <w:r>
        <w:rPr>
          <w:b/>
        </w:rPr>
        <w:t>Dirty-first loading</w:t>
      </w:r>
      <w:r>
        <w:t xml:space="preserve"> — Loading the deliberately corrupted file before cleaning makes the rationale for every step concrete and auditable. Intentional dirt is injected deterministically (seed=42).</w:t>
      </w:r>
    </w:p>
    <w:p>
      <w:pPr>
        <w:pStyle w:val="ListBullet"/>
        <w:ind w:left="360"/>
      </w:pPr>
      <w:r>
        <w:rPr>
          <w:b/>
        </w:rPr>
        <w:t>Table-specific parsing</w:t>
      </w:r>
      <w:r>
        <w:t xml:space="preserve"> — Three dedicated parsers (one per source table) are more verbose but far more reliable than a generic approach.</w:t>
      </w:r>
    </w:p>
    <w:p>
      <w:pPr>
        <w:pStyle w:val="ListBullet"/>
        <w:ind w:left="360"/>
      </w:pPr>
      <w:r>
        <w:rPr>
          <w:b/>
        </w:rPr>
        <w:t>Separating cleaning from feature engineering</w:t>
      </w:r>
      <w:r>
        <w:t xml:space="preserve"> — </w:t>
      </w:r>
      <w:r>
        <w:rPr>
          <w:rFonts w:ascii="Consolas" w:hAnsi="Consolas"/>
          <w:color w:val="800000"/>
          <w:sz w:val="18"/>
        </w:rPr>
        <w:t>cleaning.py</w:t>
      </w:r>
      <w:r>
        <w:t xml:space="preserve"> corrects errors; </w:t>
      </w:r>
      <w:r>
        <w:rPr>
          <w:rFonts w:ascii="Consolas" w:hAnsi="Consolas"/>
          <w:color w:val="800000"/>
          <w:sz w:val="18"/>
        </w:rPr>
        <w:t>features.py</w:t>
      </w:r>
      <w:r>
        <w:t xml:space="preserve"> adds business meaning. The boundary is enforced by saving the clean CSV between phases.</w:t>
      </w:r>
    </w:p>
    <w:p>
      <w:pPr>
        <w:pStyle w:val="ListBullet"/>
        <w:ind w:left="360"/>
      </w:pPr>
      <w:r>
        <w:rPr>
          <w:b/>
        </w:rPr>
        <w:t>Dynamic period labelling</w:t>
      </w:r>
      <w:r>
        <w:t xml:space="preserve"> — </w:t>
      </w:r>
      <w:r>
        <w:rPr>
          <w:rFonts w:ascii="Consolas" w:hAnsi="Consolas"/>
          <w:color w:val="800000"/>
          <w:sz w:val="18"/>
        </w:rPr>
        <w:t>PERIOD_START</w:t>
      </w:r>
      <w:r>
        <w:t xml:space="preserve"> / </w:t>
      </w:r>
      <w:r>
        <w:rPr>
          <w:rFonts w:ascii="Consolas" w:hAnsi="Consolas"/>
          <w:color w:val="800000"/>
          <w:sz w:val="18"/>
        </w:rPr>
        <w:t>PERIOD_END</w:t>
      </w:r>
      <w:r>
        <w:t xml:space="preserve"> are derived from the data, not hardcoded. Charts adapt to any period without manual editing.</w:t>
      </w:r>
    </w:p>
    <w:p>
      <w:pPr>
        <w:pStyle w:val="ListBullet"/>
        <w:ind w:left="360"/>
      </w:pPr>
      <w:r>
        <w:rPr>
          <w:b/>
        </w:rPr>
        <w:t>Computed unemployment rate</w:t>
      </w:r>
      <w:r>
        <w:t xml:space="preserve"> (Chart 9) — Merging </w:t>
      </w:r>
      <w:r>
        <w:rPr>
          <w:i/>
        </w:rPr>
        <w:t>activos</w:t>
      </w:r>
      <w:r>
        <w:t xml:space="preserve"> and </w:t>
      </w:r>
      <w:r>
        <w:rPr>
          <w:i/>
        </w:rPr>
        <w:t>ocupados</w:t>
      </w:r>
      <w:r>
        <w:t xml:space="preserve"> tables by nationality/age extracts an insight unavailable in any single INE table. Validated against official table 65336.</w:t>
      </w:r>
    </w:p>
    <w:p>
      <w:pPr>
        <w:pStyle w:val="ListBullet"/>
        <w:ind w:left="360"/>
      </w:pPr>
      <w:r>
        <w:rPr>
          <w:b/>
        </w:rPr>
        <w:t>Centralized configuration</w:t>
      </w:r>
      <w:r>
        <w:t xml:space="preserve"> — All path constants live in </w:t>
      </w:r>
      <w:r>
        <w:rPr>
          <w:rFonts w:ascii="Consolas" w:hAnsi="Consolas"/>
          <w:color w:val="800000"/>
          <w:sz w:val="18"/>
        </w:rPr>
        <w:t>src/config.py</w:t>
      </w:r>
      <w:r>
        <w:t>, making the project easy to relocate or restructure.</w:t>
      </w:r>
    </w:p>
    <w:p>
      <w:pPr>
        <w:pStyle w:val="ListBullet"/>
        <w:ind w:left="360"/>
      </w:pPr>
      <w:r>
        <w:rPr>
          <w:b/>
        </w:rPr>
        <w:t>Validation before analysis</w:t>
      </w:r>
      <w:r>
        <w:t xml:space="preserve"> — </w:t>
      </w:r>
      <w:r>
        <w:rPr>
          <w:rFonts w:ascii="Consolas" w:hAnsi="Consolas"/>
          <w:color w:val="800000"/>
          <w:sz w:val="18"/>
        </w:rPr>
        <w:t>validate_clean()</w:t>
      </w:r>
      <w:r>
        <w:t xml:space="preserve"> acts as a hard gate before feature engineering.</w:t>
      </w:r>
    </w:p>
    <w:p>
      <w:pPr>
        <w:pStyle w:val="ListBullet"/>
        <w:ind w:left="360"/>
      </w:pPr>
      <w:r>
        <w:rPr>
          <w:b/>
        </w:rPr>
        <w:t>Test suite</w:t>
      </w:r>
      <w:r>
        <w:t xml:space="preserve"> — 12 pytest tests covering all </w:t>
      </w:r>
      <w:r>
        <w:rPr>
          <w:rFonts w:ascii="Consolas" w:hAnsi="Consolas"/>
          <w:color w:val="800000"/>
          <w:sz w:val="18"/>
        </w:rPr>
        <w:t>src/</w:t>
      </w:r>
      <w:r>
        <w:t xml:space="preserve"> modules (config, io, cleaning, features, utils) ensure pipeline correctness.</w:t>
      </w:r>
    </w:p>
    <w:p>
      <w:pPr>
        <w:pStyle w:val="ListBullet"/>
        <w:ind w:left="360"/>
      </w:pPr>
      <w:r>
        <w:rPr>
          <w:b/>
        </w:rPr>
        <w:t>Nine charts, not one dashboard</w:t>
      </w:r>
      <w:r>
        <w:t xml:space="preserve"> — Each chart is an independent PNG answering a specific research question. Both the notebook and </w:t>
      </w:r>
      <w:r>
        <w:rPr>
          <w:rFonts w:ascii="Consolas" w:hAnsi="Consolas"/>
          <w:color w:val="800000"/>
          <w:sz w:val="18"/>
        </w:rPr>
        <w:t>src/viz.py</w:t>
      </w:r>
      <w:r>
        <w:t xml:space="preserve"> implement the same logic independently.</w:t>
      </w:r>
    </w:p>
    <w:p>
      <w:pPr>
        <w:pStyle w:val="Heading1"/>
      </w:pPr>
      <w:r>
        <w:t>11. Project Structure</w:t>
      </w:r>
    </w:p>
    <w:p>
      <w:pPr>
        <w:spacing w:before="80" w:after="80"/>
        <w:ind w:left="432"/>
        <w:shd w:fill="F2F2F2" w:val="clear"/>
      </w:pPr>
      <w:r>
        <w:rPr>
          <w:rFonts w:ascii="Consolas" w:hAnsi="Consolas"/>
          <w:color w:val="333333"/>
          <w:sz w:val="18"/>
        </w:rPr>
        <w:t>epa_project/</w:t>
        <w:br/>
        <w:t>├── fetch_data.py                     # Data download from INE</w:t>
        <w:br/>
        <w:t>├── main.py                           # End-to-end pipeline</w:t>
        <w:br/>
        <w:t>├── conftest.py                       # Pytest root configuration</w:t>
        <w:br/>
        <w:t>├── pyrightconfig.json                # IDE import resolution config</w:t>
        <w:br/>
        <w:t>├── data/</w:t>
        <w:br/>
        <w:t>│   ├── raw/                          # Raw JSON + raw/dirty CSV</w:t>
        <w:br/>
        <w:t>│   └── processed/                    # Clean CSV (156,456 rows x 17 cols)</w:t>
        <w:br/>
        <w:t>├── charts/                           # 9 generated PNG charts</w:t>
        <w:br/>
        <w:t>├── notebooks/</w:t>
        <w:br/>
        <w:t>│   └── eda.ipynb                     # Interactive analysis notebook</w:t>
        <w:br/>
        <w:t>├── src/</w:t>
        <w:br/>
        <w:t>│   ├── __init__.py</w:t>
        <w:br/>
        <w:t>│   ├── config.py                     # Centralized path constants</w:t>
        <w:br/>
        <w:t>│   ├── io.py                         # Data loading and saving</w:t>
        <w:br/>
        <w:t>│   ├── cleaning.py                   # Data cleaning</w:t>
        <w:br/>
        <w:t>│   ├── features.py                   # Feature engineering</w:t>
        <w:br/>
        <w:t>│   ├── viz.py                        # Reusable charts</w:t>
        <w:br/>
        <w:t>│   └── utils.py                      # Validations and utilities</w:t>
        <w:br/>
        <w:t>├── tests/</w:t>
        <w:br/>
        <w:t>│   ├── __init__.py</w:t>
        <w:br/>
        <w:t>│   └── test_pipeline.py              # 12 pytest tests (config, io, cleaning, features, utils)</w:t>
        <w:br/>
        <w:t>├── epa_project_report.docx           # Full analysis report (Word, with charts)</w:t>
        <w:br/>
        <w:t>├── README.md</w:t>
        <w:br/>
        <w:t>└── requirements.txt</w:t>
      </w:r>
    </w:p>
    <w:p>
      <w:pPr>
        <w:pStyle w:val="Heading1"/>
      </w:pPr>
      <w:r>
        <w:t>12. How to Run</w:t>
      </w:r>
    </w:p>
    <w:p>
      <w:pPr>
        <w:pStyle w:val="Heading2"/>
      </w:pPr>
      <w:r>
        <w:t>Step 1 — Clone the repository</w:t>
      </w:r>
    </w:p>
    <w:p>
      <w:pPr>
        <w:spacing w:before="80" w:after="80"/>
        <w:ind w:left="432"/>
        <w:shd w:fill="F2F2F2" w:val="clear"/>
      </w:pPr>
      <w:r>
        <w:rPr>
          <w:rFonts w:ascii="Consolas" w:hAnsi="Consolas"/>
          <w:color w:val="333333"/>
          <w:sz w:val="18"/>
        </w:rPr>
        <w:t>git clone https://github.com/danribes/epa_project.git</w:t>
        <w:br/>
        <w:t>cd epa_project/</w:t>
      </w:r>
    </w:p>
    <w:p>
      <w:pPr>
        <w:pStyle w:val="Heading2"/>
      </w:pPr>
      <w:r>
        <w:t>Step 2 — Create a virtual environment (recommended)</w:t>
      </w:r>
    </w:p>
    <w:p>
      <w:pPr>
        <w:spacing w:before="80" w:after="80"/>
        <w:ind w:left="432"/>
        <w:shd w:fill="F2F2F2" w:val="clear"/>
      </w:pPr>
      <w:r>
        <w:rPr>
          <w:rFonts w:ascii="Consolas" w:hAnsi="Consolas"/>
          <w:color w:val="333333"/>
          <w:sz w:val="18"/>
        </w:rPr>
        <w:t>python3 -m venv .venv</w:t>
        <w:br/>
        <w:t>source .venv/bin/activate</w:t>
      </w:r>
    </w:p>
    <w:p>
      <w:pPr>
        <w:pStyle w:val="Heading2"/>
      </w:pPr>
      <w:r>
        <w:t>Step 3 — Install dependencies</w:t>
      </w:r>
    </w:p>
    <w:p>
      <w:pPr>
        <w:spacing w:before="80" w:after="80"/>
        <w:ind w:left="432"/>
        <w:shd w:fill="F2F2F2" w:val="clear"/>
      </w:pPr>
      <w:r>
        <w:rPr>
          <w:rFonts w:ascii="Consolas" w:hAnsi="Consolas"/>
          <w:color w:val="333333"/>
          <w:sz w:val="18"/>
        </w:rPr>
        <w:t>pip install -r requirements.txt</w:t>
      </w:r>
    </w:p>
    <w:p>
      <w:pPr>
        <w:pStyle w:val="Heading2"/>
      </w:pPr>
      <w:r>
        <w:t>Step 4 — Download INE data</w:t>
      </w:r>
    </w:p>
    <w:p>
      <w:pPr>
        <w:spacing w:before="80" w:after="80"/>
        <w:ind w:left="432"/>
        <w:shd w:fill="F2F2F2" w:val="clear"/>
      </w:pPr>
      <w:r>
        <w:rPr>
          <w:rFonts w:ascii="Consolas" w:hAnsi="Consolas"/>
          <w:color w:val="333333"/>
          <w:sz w:val="18"/>
        </w:rPr>
        <w:t>python fetch_data.py --start 2002 --end 2025</w:t>
      </w:r>
    </w:p>
    <w:p>
      <w:pPr/>
      <w:r>
        <w:t xml:space="preserve">This step downloads the 6 EPA tables from the INE public API, generating the raw JSON files and the raw and dirty CSVs in </w:t>
      </w:r>
      <w:r>
        <w:rPr>
          <w:rFonts w:ascii="Consolas" w:hAnsi="Consolas"/>
          <w:color w:val="800000"/>
          <w:sz w:val="18"/>
        </w:rPr>
        <w:t>data/raw/</w:t>
      </w:r>
      <w:r>
        <w:t xml:space="preserve">. The </w:t>
      </w:r>
      <w:r>
        <w:rPr>
          <w:rFonts w:ascii="Consolas" w:hAnsi="Consolas"/>
          <w:color w:val="800000"/>
          <w:sz w:val="18"/>
        </w:rPr>
        <w:t>--start</w:t>
      </w:r>
      <w:r>
        <w:t xml:space="preserve"> and </w:t>
      </w:r>
      <w:r>
        <w:rPr>
          <w:rFonts w:ascii="Consolas" w:hAnsi="Consolas"/>
          <w:color w:val="800000"/>
          <w:sz w:val="18"/>
        </w:rPr>
        <w:t>--end</w:t>
      </w:r>
      <w:r>
        <w:t xml:space="preserve"> parameters define the year range to download.</w:t>
      </w:r>
    </w:p>
    <w:p>
      <w:pPr>
        <w:pStyle w:val="Heading2"/>
      </w:pPr>
      <w:r>
        <w:t>Step 5 — Run the cleaning + charts pipeline</w:t>
      </w:r>
    </w:p>
    <w:p>
      <w:pPr>
        <w:spacing w:before="80" w:after="80"/>
        <w:ind w:left="432"/>
        <w:shd w:fill="F2F2F2" w:val="clear"/>
      </w:pPr>
      <w:r>
        <w:rPr>
          <w:rFonts w:ascii="Consolas" w:hAnsi="Consolas"/>
          <w:color w:val="333333"/>
          <w:sz w:val="18"/>
        </w:rPr>
        <w:t>python main.py</w:t>
      </w:r>
    </w:p>
    <w:p>
      <w:pPr/>
      <w:r>
        <w:t>Expected output:</w:t>
      </w:r>
    </w:p>
    <w:p>
      <w:pPr>
        <w:spacing w:before="80" w:after="80"/>
        <w:ind w:left="432"/>
        <w:shd w:fill="F2F2F2" w:val="clear"/>
      </w:pPr>
      <w:r>
        <w:rPr>
          <w:rFonts w:ascii="Consolas" w:hAnsi="Consolas"/>
          <w:color w:val="333333"/>
          <w:sz w:val="18"/>
        </w:rPr>
        <w:t>Loading data from .../data/raw/epa_mercado_laboral_dirty.csv ...</w:t>
        <w:br/>
        <w:t xml:space="preserve">  Shape raw: (~156500, 8)</w:t>
        <w:br/>
        <w:t>Cleaning data ...</w:t>
        <w:br/>
        <w:t xml:space="preserve">  Shape clean: (156456, 10)</w:t>
        <w:br/>
        <w:t>All validations passed.</w:t>
        <w:br/>
        <w:t>Generating features ...</w:t>
        <w:br/>
        <w:t xml:space="preserve">  Shape final: (156456, 17)</w:t>
        <w:br/>
        <w:t>Saved to .../data/processed/epa_mercado_laboral_clean.csv</w:t>
        <w:br/>
        <w:br/>
        <w:t>Generating charts ...</w:t>
        <w:br/>
        <w:t xml:space="preserve">  -&gt; 01_tasa_paro_por_provincia.png</w:t>
        <w:br/>
        <w:t xml:space="preserve">  -&gt; 02_brecha_genero_paro.png</w:t>
        <w:br/>
        <w:t xml:space="preserve">  -&gt; 03_empleo_por_sector.png</w:t>
        <w:br/>
        <w:t xml:space="preserve">  -&gt; 04_distribucion_ocupados.png</w:t>
        <w:br/>
        <w:t xml:space="preserve">  -&gt; 05_evolucion_empleo_total.png</w:t>
        <w:br/>
        <w:t xml:space="preserve">  -&gt; 06_heatmap_paro_ccaa.png</w:t>
        <w:br/>
        <w:t xml:space="preserve">  -&gt; 07_paro_por_edad.png</w:t>
        <w:br/>
        <w:t xml:space="preserve">  -&gt; 08_paro_juvenil_evolucion.png</w:t>
        <w:br/>
        <w:t xml:space="preserve">  -&gt; 09_paro_edad_nacionalidad.png</w:t>
        <w:br/>
        <w:t>Charts saved in charts/</w:t>
      </w:r>
    </w:p>
    <w:p/>
    <w:p>
      <w:pPr/>
      <w:r>
        <w:t>Alternatively, download + cleaning + charts can be combined in a single command:</w:t>
      </w:r>
    </w:p>
    <w:p>
      <w:pPr>
        <w:spacing w:before="80" w:after="80"/>
        <w:ind w:left="432"/>
        <w:shd w:fill="F2F2F2" w:val="clear"/>
      </w:pPr>
      <w:r>
        <w:rPr>
          <w:rFonts w:ascii="Consolas" w:hAnsi="Consolas"/>
          <w:color w:val="333333"/>
          <w:sz w:val="18"/>
        </w:rPr>
        <w:t>python main.py --fetch --start 2002 --end 2025</w:t>
      </w:r>
    </w:p>
    <w:p>
      <w:pPr>
        <w:pStyle w:val="Heading2"/>
      </w:pPr>
      <w:r>
        <w:t>Step 6 — Run the tests</w:t>
      </w:r>
    </w:p>
    <w:p>
      <w:pPr>
        <w:spacing w:before="80" w:after="80"/>
        <w:ind w:left="432"/>
        <w:shd w:fill="F2F2F2" w:val="clear"/>
      </w:pPr>
      <w:r>
        <w:rPr>
          <w:rFonts w:ascii="Consolas" w:hAnsi="Consolas"/>
          <w:color w:val="333333"/>
          <w:sz w:val="18"/>
        </w:rPr>
        <w:t>pip install pytest</w:t>
        <w:br/>
        <w:t>python -m pytest tests/ -v</w:t>
      </w:r>
    </w:p>
    <w:p>
      <w:pPr/>
      <w:r>
        <w:t xml:space="preserve">All 12 tests cover </w:t>
      </w:r>
      <w:r>
        <w:rPr>
          <w:rFonts w:ascii="Consolas" w:hAnsi="Consolas"/>
          <w:color w:val="800000"/>
          <w:sz w:val="18"/>
        </w:rPr>
        <w:t>src/config</w:t>
      </w:r>
      <w:r>
        <w:t xml:space="preserve">, </w:t>
      </w:r>
      <w:r>
        <w:rPr>
          <w:rFonts w:ascii="Consolas" w:hAnsi="Consolas"/>
          <w:color w:val="800000"/>
          <w:sz w:val="18"/>
        </w:rPr>
        <w:t>src/io</w:t>
      </w:r>
      <w:r>
        <w:t xml:space="preserve">, </w:t>
      </w:r>
      <w:r>
        <w:rPr>
          <w:rFonts w:ascii="Consolas" w:hAnsi="Consolas"/>
          <w:color w:val="800000"/>
          <w:sz w:val="18"/>
        </w:rPr>
        <w:t>src/cleaning</w:t>
      </w:r>
      <w:r>
        <w:t xml:space="preserve">, </w:t>
      </w:r>
      <w:r>
        <w:rPr>
          <w:rFonts w:ascii="Consolas" w:hAnsi="Consolas"/>
          <w:color w:val="800000"/>
          <w:sz w:val="18"/>
        </w:rPr>
        <w:t>src/features</w:t>
      </w:r>
      <w:r>
        <w:t xml:space="preserve">, and </w:t>
      </w:r>
      <w:r>
        <w:rPr>
          <w:rFonts w:ascii="Consolas" w:hAnsi="Consolas"/>
          <w:color w:val="800000"/>
          <w:sz w:val="18"/>
        </w:rPr>
        <w:t>src/utils</w:t>
      </w:r>
      <w:r>
        <w:t>.</w:t>
      </w:r>
    </w:p>
    <w:p>
      <w:pPr>
        <w:pStyle w:val="Heading2"/>
      </w:pPr>
      <w:r>
        <w:t>Step 7 — Explore the notebook (optional)</w:t>
      </w:r>
    </w:p>
    <w:p>
      <w:pPr>
        <w:spacing w:before="80" w:after="80"/>
        <w:ind w:left="432"/>
        <w:shd w:fill="F2F2F2" w:val="clear"/>
      </w:pPr>
      <w:r>
        <w:rPr>
          <w:rFonts w:ascii="Consolas" w:hAnsi="Consolas"/>
          <w:color w:val="333333"/>
          <w:sz w:val="18"/>
        </w:rPr>
        <w:t>pip install jupyter</w:t>
        <w:br/>
        <w:t>jupyter notebook notebooks/eda.ipynb</w:t>
      </w:r>
    </w:p>
    <w:p>
      <w:pPr>
        <w:pStyle w:val="Heading1"/>
      </w:pPr>
      <w:r>
        <w:t>13. Reproducing with a Different Period</w:t>
      </w:r>
    </w:p>
    <w:p>
      <w:pPr/>
      <w:r>
        <w:t xml:space="preserve">The project is designed to work with </w:t>
      </w:r>
      <w:r>
        <w:rPr>
          <w:b/>
        </w:rPr>
        <w:t>any period</w:t>
      </w:r>
      <w:r>
        <w:t xml:space="preserve"> of EPA data. To change the time range:</w:t>
      </w:r>
    </w:p>
    <w:p>
      <w:pPr/>
      <w:r>
        <w:rPr>
          <w:b/>
        </w:rPr>
        <w:t>Important:</w:t>
      </w:r>
      <w:r>
        <w:t xml:space="preserve"> The EPA publishes quarterly data </w:t>
      </w:r>
      <w:r>
        <w:rPr>
          <w:b/>
        </w:rPr>
        <w:t>from 2002 onwards</w:t>
      </w:r>
      <w:r>
        <w:t>. If a start year before 2002 is specified, the INE API will simply return data from 2002 onwards without raising an error.</w:t>
      </w:r>
    </w:p>
    <w:p>
      <w:pPr>
        <w:pStyle w:val="Heading2"/>
      </w:pPr>
      <w:r>
        <w:t>Step by step</w:t>
      </w:r>
    </w:p>
    <w:p>
      <w:pPr>
        <w:pStyle w:val="ListNumber"/>
      </w:pPr>
      <w:r>
        <w:rPr>
          <w:b/>
        </w:rPr>
        <w:t>Choose the period.</w:t>
      </w:r>
      <w:r>
        <w:t xml:space="preserve"> The EPA publishes quarterly data from 2002. Example: 2015–2020.</w:t>
      </w:r>
    </w:p>
    <w:p>
      <w:pPr>
        <w:pStyle w:val="ListNumber"/>
      </w:pPr>
      <w:r>
        <w:rPr>
          <w:b/>
        </w:rPr>
        <w:t>Download the data.</w:t>
      </w:r>
      <w:r>
        <w:t xml:space="preserve"> The </w:t>
      </w:r>
      <w:r>
        <w:rPr>
          <w:rFonts w:ascii="Consolas" w:hAnsi="Consolas"/>
          <w:color w:val="800000"/>
          <w:sz w:val="18"/>
        </w:rPr>
        <w:t>fetch_data.py</w:t>
      </w:r>
      <w:r>
        <w:t xml:space="preserve"> script connects to the INE API using the </w:t>
      </w:r>
      <w:r>
        <w:rPr>
          <w:rFonts w:ascii="Consolas" w:hAnsi="Consolas"/>
          <w:color w:val="800000"/>
          <w:sz w:val="18"/>
        </w:rPr>
        <w:t>date=YYYYMMDD:YYYYMMDD</w:t>
      </w:r>
      <w:r>
        <w:t xml:space="preserve"> parameter to request the exact range.</w:t>
      </w:r>
    </w:p>
    <w:p>
      <w:pPr>
        <w:spacing w:before="80" w:after="80"/>
        <w:ind w:left="432"/>
        <w:shd w:fill="F2F2F2" w:val="clear"/>
      </w:pPr>
      <w:r>
        <w:rPr>
          <w:rFonts w:ascii="Consolas" w:hAnsi="Consolas"/>
          <w:color w:val="333333"/>
          <w:sz w:val="18"/>
        </w:rPr>
        <w:t>python fetch_data.py --start 2015 --end 2020</w:t>
      </w:r>
    </w:p>
    <w:p>
      <w:pPr/>
      <w:r>
        <w:t>This downloads the 6 tables and generates:</w:t>
      </w:r>
    </w:p>
    <w:p>
      <w:pPr>
        <w:pStyle w:val="ListBullet"/>
        <w:ind w:left="360"/>
      </w:pPr>
      <w:r>
        <w:rPr>
          <w:rFonts w:ascii="Consolas" w:hAnsi="Consolas"/>
          <w:color w:val="800000"/>
          <w:sz w:val="18"/>
        </w:rPr>
        <w:t>data/raw/*.json</w:t>
      </w:r>
      <w:r>
        <w:t xml:space="preserve"> — raw JSON API responses (one per table)</w:t>
      </w:r>
    </w:p>
    <w:p>
      <w:pPr>
        <w:pStyle w:val="ListBullet"/>
        <w:ind w:left="360"/>
      </w:pPr>
      <w:r>
        <w:rPr>
          <w:rFonts w:ascii="Consolas" w:hAnsi="Consolas"/>
          <w:color w:val="800000"/>
          <w:sz w:val="18"/>
        </w:rPr>
        <w:t>data/raw/epa_mercado_laboral_raw.csv</w:t>
      </w:r>
      <w:r>
        <w:t xml:space="preserve"> — clean combined CSV</w:t>
      </w:r>
    </w:p>
    <w:p>
      <w:pPr>
        <w:pStyle w:val="ListBullet"/>
        <w:ind w:left="360"/>
      </w:pPr>
      <w:r>
        <w:rPr>
          <w:rFonts w:ascii="Consolas" w:hAnsi="Consolas"/>
          <w:color w:val="800000"/>
          <w:sz w:val="18"/>
        </w:rPr>
        <w:t>data/raw/epa_mercado_laboral_dirty.csv</w:t>
      </w:r>
      <w:r>
        <w:t xml:space="preserve"> — CSV with intentional dirt</w:t>
      </w:r>
    </w:p>
    <w:p>
      <w:pPr>
        <w:pStyle w:val="ListNumber"/>
      </w:pPr>
      <w:r>
        <w:rPr>
          <w:b/>
        </w:rPr>
        <w:t>Run the pipeline.</w:t>
      </w:r>
      <w:r>
        <w:t xml:space="preserve"> The cleaning, features, and charts code is completely period-agnostic — it contains no hardcoded dates. All 9 charts are generated automatically in </w:t>
      </w:r>
      <w:r>
        <w:rPr>
          <w:rFonts w:ascii="Consolas" w:hAnsi="Consolas"/>
          <w:color w:val="800000"/>
          <w:sz w:val="18"/>
        </w:rPr>
        <w:t>charts/</w:t>
      </w:r>
      <w:r>
        <w:t>.</w:t>
      </w:r>
    </w:p>
    <w:p>
      <w:pPr>
        <w:spacing w:before="80" w:after="80"/>
        <w:ind w:left="432"/>
        <w:shd w:fill="F2F2F2" w:val="clear"/>
      </w:pPr>
      <w:r>
        <w:rPr>
          <w:rFonts w:ascii="Consolas" w:hAnsi="Consolas"/>
          <w:color w:val="333333"/>
          <w:sz w:val="18"/>
        </w:rPr>
        <w:t>python main.py</w:t>
      </w:r>
    </w:p>
    <w:p>
      <w:pPr>
        <w:pStyle w:val="ListNumber"/>
      </w:pPr>
      <w:r>
        <w:rPr>
          <w:b/>
        </w:rPr>
        <w:t>Explore the notebook (optional).</w:t>
      </w:r>
      <w:r>
        <w:t xml:space="preserve"> The </w:t>
      </w:r>
      <w:r>
        <w:rPr>
          <w:rFonts w:ascii="Consolas" w:hAnsi="Consolas"/>
          <w:color w:val="800000"/>
          <w:sz w:val="18"/>
        </w:rPr>
        <w:t>eda.ipynb</w:t>
      </w:r>
      <w:r>
        <w:t xml:space="preserve"> notebook reads from the dirty CSV and adapts automatically to the downloaded period.</w:t>
      </w:r>
    </w:p>
    <w:p>
      <w:pPr>
        <w:spacing w:before="80" w:after="80"/>
        <w:ind w:left="432"/>
        <w:shd w:fill="F2F2F2" w:val="clear"/>
      </w:pPr>
      <w:r>
        <w:rPr>
          <w:rFonts w:ascii="Consolas" w:hAnsi="Consolas"/>
          <w:color w:val="333333"/>
          <w:sz w:val="18"/>
        </w:rPr>
        <w:t>jupyter notebook notebooks/eda.ipynb</w:t>
      </w:r>
    </w:p>
    <w:p>
      <w:pPr>
        <w:pStyle w:val="Heading2"/>
      </w:pPr>
      <w:r>
        <w:t>Usage examples</w:t>
      </w:r>
    </w:p>
    <w:p>
      <w:pPr>
        <w:spacing w:before="80" w:after="80"/>
        <w:ind w:left="432"/>
        <w:shd w:fill="F2F2F2" w:val="clear"/>
      </w:pPr>
      <w:r>
        <w:rPr>
          <w:rFonts w:ascii="Consolas" w:hAnsi="Consolas"/>
          <w:color w:val="333333"/>
          <w:sz w:val="18"/>
        </w:rPr>
        <w:t># Full available range (24 years)</w:t>
        <w:br/>
        <w:t>python fetch_data.py --start 2002 --end 2025</w:t>
        <w:br/>
        <w:br/>
        <w:t># 2008 financial crisis</w:t>
        <w:br/>
        <w:t>python fetch_data.py --start 2008 --end 2014</w:t>
        <w:br/>
        <w:br/>
        <w:t># Pre-pandemic</w:t>
        <w:br/>
        <w:t>python fetch_data.py --start 2015 --end 2020</w:t>
        <w:br/>
        <w:br/>
        <w:t># Default 6-year range</w:t>
        <w:br/>
        <w:t>python fetch_data.py --start 2020 --end 2025</w:t>
        <w:br/>
        <w:br/>
        <w:t># Download only, without generating dirty CSV</w:t>
        <w:br/>
        <w:t>python fetch_data.py --start 2020 --end 2025 --no-dirty</w:t>
        <w:br/>
        <w:br/>
        <w:t># Fetch + cleaning in a single command</w:t>
        <w:br/>
        <w:t>python main.py --fetch --start 2015 --end 2020</w:t>
      </w:r>
    </w:p>
    <w:p>
      <w:pPr>
        <w:pStyle w:val="Heading2"/>
      </w:pPr>
      <w:r>
        <w:t>Period-adaptive design</w:t>
      </w:r>
    </w:p>
    <w:p>
      <w:pPr/>
      <w:r>
        <w:t xml:space="preserve">All project code is </w:t>
      </w:r>
      <w:r>
        <w:rPr>
          <w:b/>
        </w:rPr>
        <w:t>period-agnostic</w:t>
      </w:r>
      <w:r>
        <w:t>. It contains no hardcoded dates:</w:t>
      </w:r>
    </w:p>
    <w:tbl>
      <w:tblPr>
        <w:tblStyle w:val="TableGrid"/>
        <w:tblW w:type="auto" w:w="0"/>
        <w:jc w:val="center"/>
        <w:tblLook w:firstColumn="1" w:firstRow="1" w:lastColumn="0" w:lastRow="0" w:noHBand="0" w:noVBand="1" w:val="04A0"/>
      </w:tblPr>
      <w:tblGrid>
        <w:gridCol w:w="4680"/>
        <w:gridCol w:w="4680"/>
      </w:tblGrid>
      <w:tr>
        <w:tc>
          <w:tcPr>
            <w:tcW w:type="dxa" w:w="2880"/>
            <w:shd w:fill="2F5496"/>
          </w:tcPr>
          <w:p>
            <w:pPr>
              <w:jc w:val="center"/>
            </w:pPr>
            <w:r/>
            <w:r>
              <w:rPr>
                <w:b/>
                <w:color w:val="FFFFFF"/>
                <w:sz w:val="18"/>
              </w:rPr>
              <w:t>Component</w:t>
            </w:r>
          </w:p>
        </w:tc>
        <w:tc>
          <w:tcPr>
            <w:tcW w:type="dxa" w:w="6480"/>
            <w:shd w:fill="2F5496"/>
          </w:tcPr>
          <w:p>
            <w:pPr>
              <w:jc w:val="center"/>
            </w:pPr>
            <w:r/>
            <w:r>
              <w:rPr>
                <w:b/>
                <w:color w:val="FFFFFF"/>
                <w:sz w:val="18"/>
              </w:rPr>
              <w:t>Adaptation mechanism</w:t>
            </w:r>
          </w:p>
        </w:tc>
      </w:tr>
      <w:tr>
        <w:tc>
          <w:tcPr>
            <w:tcW w:type="dxa" w:w="2880"/>
            <w:shd w:fill="D6E4F0"/>
          </w:tcPr>
          <w:p>
            <w:r>
              <w:rPr>
                <w:sz w:val="18"/>
              </w:rPr>
            </w:r>
            <w:r>
              <w:rPr>
                <w:rFonts w:ascii="Consolas" w:hAnsi="Consolas"/>
                <w:color w:val="800000"/>
                <w:sz w:val="18"/>
              </w:rPr>
              <w:t>fetch_data.py</w:t>
            </w:r>
          </w:p>
        </w:tc>
        <w:tc>
          <w:tcPr>
            <w:tcW w:type="dxa" w:w="6480"/>
            <w:shd w:fill="D6E4F0"/>
          </w:tcPr>
          <w:p>
            <w:r>
              <w:rPr>
                <w:sz w:val="18"/>
              </w:rPr>
            </w:r>
            <w:r>
              <w:rPr>
                <w:rFonts w:ascii="Consolas" w:hAnsi="Consolas"/>
                <w:color w:val="800000"/>
                <w:sz w:val="18"/>
              </w:rPr>
              <w:t>--start</w:t>
            </w:r>
            <w:r>
              <w:rPr>
                <w:sz w:val="18"/>
              </w:rPr>
              <w:t xml:space="preserve"> / </w:t>
            </w:r>
            <w:r>
              <w:rPr>
                <w:rFonts w:ascii="Consolas" w:hAnsi="Consolas"/>
                <w:color w:val="800000"/>
                <w:sz w:val="18"/>
              </w:rPr>
              <w:t>--end</w:t>
            </w:r>
            <w:r>
              <w:rPr>
                <w:sz w:val="18"/>
              </w:rPr>
              <w:t xml:space="preserve"> parameters to define the range</w:t>
            </w:r>
          </w:p>
        </w:tc>
      </w:tr>
      <w:tr>
        <w:tc>
          <w:tcPr>
            <w:tcW w:type="dxa" w:w="2880"/>
          </w:tcPr>
          <w:p>
            <w:r>
              <w:rPr>
                <w:sz w:val="18"/>
              </w:rPr>
            </w:r>
            <w:r>
              <w:rPr>
                <w:rFonts w:ascii="Consolas" w:hAnsi="Consolas"/>
                <w:color w:val="800000"/>
                <w:sz w:val="18"/>
              </w:rPr>
              <w:t>src/config.py</w:t>
            </w:r>
          </w:p>
        </w:tc>
        <w:tc>
          <w:tcPr>
            <w:tcW w:type="dxa" w:w="6480"/>
          </w:tcPr>
          <w:p>
            <w:r>
              <w:rPr>
                <w:sz w:val="18"/>
              </w:rPr>
            </w:r>
            <w:r>
              <w:rPr>
                <w:sz w:val="18"/>
              </w:rPr>
              <w:t>Centralized path constants — single place to change all data paths</w:t>
            </w:r>
          </w:p>
        </w:tc>
      </w:tr>
      <w:tr>
        <w:tc>
          <w:tcPr>
            <w:tcW w:type="dxa" w:w="2880"/>
            <w:shd w:fill="D6E4F0"/>
          </w:tcPr>
          <w:p>
            <w:r>
              <w:rPr>
                <w:sz w:val="18"/>
              </w:rPr>
            </w:r>
            <w:r>
              <w:rPr>
                <w:rFonts w:ascii="Consolas" w:hAnsi="Consolas"/>
                <w:color w:val="800000"/>
                <w:sz w:val="18"/>
              </w:rPr>
              <w:t>src/cleaning.py</w:t>
            </w:r>
          </w:p>
        </w:tc>
        <w:tc>
          <w:tcPr>
            <w:tcW w:type="dxa" w:w="6480"/>
            <w:shd w:fill="D6E4F0"/>
          </w:tcPr>
          <w:p>
            <w:r>
              <w:rPr>
                <w:sz w:val="18"/>
              </w:rPr>
            </w:r>
            <w:r>
              <w:rPr>
                <w:sz w:val="18"/>
              </w:rPr>
              <w:t>Date and dimension parsing with no reference to specific years</w:t>
            </w:r>
          </w:p>
        </w:tc>
      </w:tr>
      <w:tr>
        <w:tc>
          <w:tcPr>
            <w:tcW w:type="dxa" w:w="2880"/>
          </w:tcPr>
          <w:p>
            <w:r>
              <w:rPr>
                <w:sz w:val="18"/>
              </w:rPr>
            </w:r>
            <w:r>
              <w:rPr>
                <w:rFonts w:ascii="Consolas" w:hAnsi="Consolas"/>
                <w:color w:val="800000"/>
                <w:sz w:val="18"/>
              </w:rPr>
              <w:t>src/features.py</w:t>
            </w:r>
          </w:p>
        </w:tc>
        <w:tc>
          <w:tcPr>
            <w:tcW w:type="dxa" w:w="6480"/>
          </w:tcPr>
          <w:p>
            <w:r>
              <w:rPr>
                <w:sz w:val="18"/>
              </w:rPr>
            </w:r>
            <w:r>
              <w:rPr>
                <w:sz w:val="18"/>
              </w:rPr>
              <w:t>Generic temporal feature engineering (quarter, month, year)</w:t>
            </w:r>
          </w:p>
        </w:tc>
      </w:tr>
      <w:tr>
        <w:tc>
          <w:tcPr>
            <w:tcW w:type="dxa" w:w="2880"/>
            <w:shd w:fill="D6E4F0"/>
          </w:tcPr>
          <w:p>
            <w:r>
              <w:rPr>
                <w:sz w:val="18"/>
              </w:rPr>
            </w:r>
            <w:r>
              <w:rPr>
                <w:rFonts w:ascii="Consolas" w:hAnsi="Consolas"/>
                <w:color w:val="800000"/>
                <w:sz w:val="18"/>
              </w:rPr>
              <w:t>src/viz.py</w:t>
            </w:r>
          </w:p>
        </w:tc>
        <w:tc>
          <w:tcPr>
            <w:tcW w:type="dxa" w:w="6480"/>
            <w:shd w:fill="D6E4F0"/>
          </w:tcPr>
          <w:p>
            <w:r>
              <w:rPr>
                <w:sz w:val="18"/>
              </w:rPr>
            </w:r>
            <w:r>
              <w:rPr>
                <w:sz w:val="18"/>
              </w:rPr>
              <w:t>Generates all 9 charts with titles that include the temporal range detected in the data</w:t>
            </w:r>
          </w:p>
        </w:tc>
      </w:tr>
      <w:tr>
        <w:tc>
          <w:tcPr>
            <w:tcW w:type="dxa" w:w="2880"/>
          </w:tcPr>
          <w:p>
            <w:r>
              <w:rPr>
                <w:sz w:val="18"/>
              </w:rPr>
            </w:r>
            <w:r>
              <w:rPr>
                <w:rFonts w:ascii="Consolas" w:hAnsi="Consolas"/>
                <w:color w:val="800000"/>
                <w:sz w:val="18"/>
              </w:rPr>
              <w:t>main.py</w:t>
            </w:r>
          </w:p>
        </w:tc>
        <w:tc>
          <w:tcPr>
            <w:tcW w:type="dxa" w:w="6480"/>
          </w:tcPr>
          <w:p>
            <w:r>
              <w:rPr>
                <w:sz w:val="18"/>
              </w:rPr>
            </w:r>
            <w:r>
              <w:rPr>
                <w:sz w:val="18"/>
              </w:rPr>
              <w:t>Orchestrates the full pipeline (fetch + clean + features + charts) in a single command</w:t>
            </w:r>
          </w:p>
        </w:tc>
      </w:tr>
      <w:tr>
        <w:tc>
          <w:tcPr>
            <w:tcW w:type="dxa" w:w="2880"/>
            <w:shd w:fill="D6E4F0"/>
          </w:tcPr>
          <w:p>
            <w:r>
              <w:rPr>
                <w:sz w:val="18"/>
              </w:rPr>
            </w:r>
            <w:r>
              <w:rPr>
                <w:rFonts w:ascii="Consolas" w:hAnsi="Consolas"/>
                <w:color w:val="800000"/>
                <w:sz w:val="18"/>
              </w:rPr>
              <w:t>tests/test_pipeline.py</w:t>
            </w:r>
          </w:p>
        </w:tc>
        <w:tc>
          <w:tcPr>
            <w:tcW w:type="dxa" w:w="6480"/>
            <w:shd w:fill="D6E4F0"/>
          </w:tcPr>
          <w:p>
            <w:r>
              <w:rPr>
                <w:sz w:val="18"/>
              </w:rPr>
            </w:r>
            <w:r>
              <w:rPr>
                <w:sz w:val="18"/>
              </w:rPr>
              <w:t>Data-driven tests that validate against the actual dataset</w:t>
            </w:r>
          </w:p>
        </w:tc>
      </w:tr>
      <w:tr>
        <w:tc>
          <w:tcPr>
            <w:tcW w:type="dxa" w:w="2880"/>
          </w:tcPr>
          <w:p>
            <w:r>
              <w:rPr>
                <w:sz w:val="18"/>
              </w:rPr>
            </w:r>
            <w:r>
              <w:rPr>
                <w:rFonts w:ascii="Consolas" w:hAnsi="Consolas"/>
                <w:color w:val="800000"/>
                <w:sz w:val="18"/>
              </w:rPr>
              <w:t>notebooks/eda.ipynb</w:t>
            </w:r>
          </w:p>
        </w:tc>
        <w:tc>
          <w:tcPr>
            <w:tcW w:type="dxa" w:w="6480"/>
          </w:tcPr>
          <w:p>
            <w:r>
              <w:rPr>
                <w:sz w:val="18"/>
              </w:rPr>
            </w:r>
            <w:r>
              <w:rPr>
                <w:sz w:val="18"/>
              </w:rPr>
              <w:t xml:space="preserve">Derives </w:t>
            </w:r>
            <w:r>
              <w:rPr>
                <w:rFonts w:ascii="Consolas" w:hAnsi="Consolas"/>
                <w:color w:val="800000"/>
                <w:sz w:val="18"/>
              </w:rPr>
              <w:t>PERIOD_LABEL</w:t>
            </w:r>
            <w:r>
              <w:rPr>
                <w:sz w:val="18"/>
              </w:rPr>
              <w:t xml:space="preserve"> from the data and uses it in all chart titles</w:t>
            </w:r>
          </w:p>
        </w:tc>
      </w:tr>
    </w:tbl>
    <w:p>
      <w:pPr>
        <w:pStyle w:val="Heading2"/>
      </w:pPr>
      <w:r>
        <w:t>Important notes</w:t>
      </w:r>
    </w:p>
    <w:p>
      <w:pPr>
        <w:pStyle w:val="ListBullet"/>
        <w:ind w:left="360"/>
      </w:pPr>
      <w:r>
        <w:t>The INE API is public and free; no API key is required.</w:t>
      </w:r>
    </w:p>
    <w:p>
      <w:pPr>
        <w:pStyle w:val="ListBullet"/>
        <w:ind w:left="360"/>
      </w:pPr>
      <w:r>
        <w:t>The script includes automatic retries (3 attempts with exponential backoff) and a 1s courtesy delay between requests.</w:t>
      </w:r>
    </w:p>
    <w:p>
      <w:pPr>
        <w:pStyle w:val="ListBullet"/>
        <w:ind w:left="360"/>
      </w:pPr>
      <w:r>
        <w:rPr>
          <w:b/>
        </w:rPr>
        <w:t>EPA data is available quarterly from 2002.</w:t>
      </w:r>
      <w:r>
        <w:t xml:space="preserve"> If </w:t>
      </w:r>
      <w:r>
        <w:rPr>
          <w:rFonts w:ascii="Consolas" w:hAnsi="Consolas"/>
          <w:color w:val="800000"/>
          <w:sz w:val="18"/>
        </w:rPr>
        <w:t>--start</w:t>
      </w:r>
      <w:r>
        <w:t xml:space="preserve"> is set to a year before 2002, the INE API will return data from 2002 onwards without raising an error.</w:t>
      </w:r>
    </w:p>
    <w:p>
      <w:pPr>
        <w:pStyle w:val="ListBullet"/>
        <w:ind w:left="360"/>
      </w:pPr>
      <w:r>
        <w:t>The full pipeline (</w:t>
      </w:r>
      <w:r>
        <w:rPr>
          <w:rFonts w:ascii="Consolas" w:hAnsi="Consolas"/>
          <w:color w:val="800000"/>
          <w:sz w:val="18"/>
        </w:rPr>
        <w:t>main.py</w:t>
      </w:r>
      <w:r>
        <w:t xml:space="preserve">) runs cleaning, features, and generation of all 9 charts in </w:t>
      </w:r>
      <w:r>
        <w:rPr>
          <w:rFonts w:ascii="Consolas" w:hAnsi="Consolas"/>
          <w:color w:val="800000"/>
          <w:sz w:val="18"/>
        </w:rPr>
        <w:t>charts/</w:t>
      </w:r>
      <w:r>
        <w:t>. All components are period-agnostic: they contain no hardcoded dates.</w:t>
      </w:r>
    </w:p>
    <w:p>
      <w:pPr>
        <w:pStyle w:val="ListBullet"/>
        <w:ind w:left="360"/>
      </w:pPr>
      <w:r>
        <w:t>The intentional dirt in the dirty CSV is deterministic (seed=42), so running twice with the same period produces exactly the same file.</w:t>
      </w:r>
    </w:p>
    <w:p>
      <w:pPr>
        <w:pStyle w:val="Heading1"/>
      </w:pPr>
      <w:r>
        <w:t>14. Dependencies</w:t>
      </w:r>
    </w:p>
    <w:p>
      <w:pPr>
        <w:spacing w:before="80" w:after="80"/>
        <w:ind w:left="432"/>
        <w:shd w:fill="F2F2F2" w:val="clear"/>
      </w:pPr>
      <w:r>
        <w:rPr>
          <w:rFonts w:ascii="Consolas" w:hAnsi="Consolas"/>
          <w:color w:val="333333"/>
          <w:sz w:val="18"/>
        </w:rPr>
        <w:t>pandas</w:t>
        <w:br/>
        <w:t>numpy</w:t>
        <w:br/>
        <w:t>matplotlib</w:t>
        <w:br/>
        <w:t>seaborn</w:t>
        <w:br/>
        <w:t>requests        # INE API calls</w:t>
        <w:br/>
        <w:t>python-docx     # Word report generation</w:t>
        <w:br/>
        <w:t>openpyxl        # (optional, for Excel export)</w:t>
        <w:br/>
        <w:t>jupyter         # For interactive notebook use</w:t>
        <w:br/>
        <w:t>pytest          # Test suite</w:t>
      </w:r>
    </w:p>
    <w:p>
      <w:pPr/>
      <w:r>
        <w:t xml:space="preserve">Install with: </w:t>
      </w:r>
      <w:r>
        <w:rPr>
          <w:rFonts w:ascii="Consolas" w:hAnsi="Consolas"/>
          <w:color w:val="800000"/>
          <w:sz w:val="18"/>
        </w:rPr>
        <w:t>pip install -r requirements.txt</w:t>
      </w:r>
    </w:p>
    <w:p/>
    <w:p/>
    <w:p>
      <w:pPr>
        <w:jc w:val="center"/>
      </w:pPr>
      <w:r>
        <w:rPr>
          <w:i/>
          <w:color w:val="888888"/>
          <w:sz w:val="18"/>
        </w:rPr>
        <w:t>Full analysis report with embedded charts. Report compiled from the full 2002–2025 EPA dataset (156,456 observations across 96 quarters). Source: Instituto Nacional de Estadística (INE) — Encuesta de Población Activa.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