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77A"/>
          <w:sz w:val="52"/>
        </w:rPr>
        <w:t>Analysis of the Spanish Labour Market (EPA)</w:t>
      </w:r>
    </w:p>
    <w:p>
      <w:pPr>
        <w:jc w:val="center"/>
      </w:pPr>
      <w:r>
        <w:rPr>
          <w:color w:val="555555"/>
          <w:sz w:val="28"/>
        </w:rPr>
        <w:t>Unemployment, Gender Gap, Sectoral Structure and Temporal Evolution</w:t>
        <w:br/>
        <w:t>from INEbase — Encuesta de Población Activa (EPA)</w:t>
      </w:r>
    </w:p>
    <w:p/>
    <w:p/>
    <w:p>
      <w:pPr>
        <w:jc w:val="center"/>
      </w:pPr>
      <w:r>
        <w:rPr>
          <w:color w:val="555555"/>
          <w:sz w:val="22"/>
        </w:rPr>
        <w:t>Data source: INE Public API — servicios.ine.es/wstempus/js</w:t>
        <w:br/>
        <w:t>Date: February 2026</w:t>
      </w:r>
    </w:p>
    <w:p>
      <w:r/>
    </w:p>
    <w:p>
      <w:pPr>
        <w:pStyle w:val="Heading1"/>
      </w:pPr>
      <w:r>
        <w:t>Table of Contents</w:t>
      </w:r>
    </w:p>
    <w:p>
      <w:r>
        <w:t>1. Introduction and Purpose</w:t>
      </w:r>
    </w:p>
    <w:p>
      <w:r>
        <w:t>2. Dataset Description</w:t>
      </w:r>
    </w:p>
    <w:p>
      <w:r>
        <w:t>3. Methodology</w:t>
      </w:r>
    </w:p>
    <w:p>
      <w:r>
        <w:t xml:space="preserve">   3.1 Data Acquisition</w:t>
      </w:r>
    </w:p>
    <w:p>
      <w:r>
        <w:t xml:space="preserve">   3.2 Data Quality Assessment</w:t>
      </w:r>
    </w:p>
    <w:p>
      <w:r>
        <w:t xml:space="preserve">   3.3 Cleaning Pipeline</w:t>
      </w:r>
    </w:p>
    <w:p>
      <w:r>
        <w:t xml:space="preserve">   3.4 Feature Engineering</w:t>
      </w:r>
    </w:p>
    <w:p>
      <w:r>
        <w:t xml:space="preserve">   3.5 Visualization and Analysis</w:t>
      </w:r>
    </w:p>
    <w:p>
      <w:r>
        <w:t>4. Research Questions</w:t>
      </w:r>
    </w:p>
    <w:p>
      <w:r>
        <w:t>5. Results</w:t>
      </w:r>
    </w:p>
    <w:p>
      <w:r>
        <w:t xml:space="preserve">   5.1 Unemployment by Province (Q1)</w:t>
      </w:r>
    </w:p>
    <w:p>
      <w:r>
        <w:t xml:space="preserve">   5.2 Gender Gap in Unemployment (Q2)</w:t>
      </w:r>
    </w:p>
    <w:p>
      <w:r>
        <w:t xml:space="preserve">   5.3 Employment by Economic Sector (Q3)</w:t>
      </w:r>
    </w:p>
    <w:p>
      <w:r>
        <w:t xml:space="preserve">   5.4 Employment Evolution and Recovery (Q4)</w:t>
      </w:r>
    </w:p>
    <w:p>
      <w:r>
        <w:t xml:space="preserve">   5.5 Demand Distribution and Seasonality (Q5)</w:t>
      </w:r>
    </w:p>
    <w:p>
      <w:pPr>
        <w:pStyle w:val="Normal"/>
      </w:pPr>
      <w:r>
        <w:rPr/>
        <w:t xml:space="preserve">    5.6 Territorial Unemployment Patterns (Heatmap)</w:t>
      </w:r>
    </w:p>
    <w:p>
      <w:pPr>
        <w:pStyle w:val="Normal"/>
      </w:pPr>
      <w:r>
        <w:rPr/>
        <w:t xml:space="preserve">    5.7 Unemployment by Age Group (Q6)</w:t>
      </w:r>
    </w:p>
    <w:p>
      <w:pPr>
        <w:pStyle w:val="Normal"/>
      </w:pPr>
      <w:r>
        <w:rPr/>
        <w:t xml:space="preserve">    5.8 Youth Unemployment Evolution (Q7)</w:t>
      </w:r>
    </w:p>
    <w:p>
      <w:pPr>
        <w:pStyle w:val="Normal"/>
      </w:pPr>
      <w:r>
        <w:rPr/>
        <w:t xml:space="preserve">    5.9 Unemployment by Age and Nationality (Q8)</w:t>
      </w:r>
    </w:p>
    <w:p>
      <w:r>
        <w:t>6. Additional Findings</w:t>
      </w:r>
    </w:p>
    <w:p>
      <w:r>
        <w:t>7. Data Quality Report</w:t>
      </w:r>
    </w:p>
    <w:p>
      <w:r>
        <w:t>8. Conclusions</w:t>
      </w:r>
    </w:p>
    <w:p>
      <w:r>
        <w:t>9. Project Structure and Reproducibility</w:t>
      </w:r>
    </w:p>
    <w:p>
      <w:pPr>
        <w:pStyle w:val="Normal"/>
      </w:pPr>
      <w:r>
        <w:rPr/>
        <w:t xml:space="preserve">    9.1 Reproducing the Analysis for a Different Period</w:t>
      </w:r>
    </w:p>
    <w:p>
      <w:r>
        <w:t xml:space="preserve">    9.2 Period-Adaptive Notebook Design</w:t>
      </w:r>
    </w:p>
    <w:p>
      <w:r/>
    </w:p>
    <w:p>
      <w:pPr>
        <w:pStyle w:val="Heading1"/>
      </w:pPr>
      <w:r>
        <w:t>1. Introduction and Purpose</w:t>
      </w:r>
    </w:p>
    <w:p>
      <w:r/>
    </w:p>
    <w:p>
      <w:r>
        <w:t>This report presents an exploratory data analysis (EDA) of the Spanish labour market over a user-configurable period (default: 2020–2025, i.e. 20 quarters), using official open data published by the Instituto Nacional de Estadística (INE) through its Encuesta de Población Activa (EPA) — Spain's quarterly Labour Force Survey, the reference survey for employment statistics in the country.</w:t>
      </w:r>
    </w:p>
    <w:p>
      <w:r>
        <w:t>The objectives of this study are:</w:t>
      </w:r>
    </w:p>
    <w:p>
      <w:pPr>
        <w:pStyle w:val="ListBullet"/>
      </w:pPr>
      <w:r>
        <w:t>Identify the provinces and autonomous communities with the highest and lowest unemployment rates, and assess whether the territorial ranking has changed over 5 years.</w:t>
      </w:r>
    </w:p>
    <w:p>
      <w:pPr>
        <w:pStyle w:val="ListBullet"/>
      </w:pPr>
      <w:r>
        <w:t>Quantify the gender gap in unemployment and examine its evolution over the analysis period.</w:t>
      </w:r>
    </w:p>
    <w:p>
      <w:pPr>
        <w:pStyle w:val="ListBullet"/>
      </w:pPr>
      <w:r>
        <w:t>Analyze the distribution of employment across economic sectors (agriculture, industry, construction, services) and its geographic variation.</w:t>
      </w:r>
    </w:p>
    <w:p>
      <w:pPr>
        <w:pStyle w:val="ListBullet"/>
      </w:pPr>
      <w:r>
        <w:t>Measure the impact of economic on total employment and assess the completeness of the recovery.</w:t>
      </w:r>
    </w:p>
    <w:p>
      <w:pPr>
        <w:pStyle w:val="ListBullet"/>
      </w:pPr>
      <w:r>
        <w:t>Detect seasonal patterns in employment and unemployment at the quarterly level.</w:t>
      </w:r>
    </w:p>
    <w:p>
      <w:r>
        <w:t>Beyond answering these questions, this project serves as a demonstration of a reproducible data science pipeline — from raw API ingestion through cleaning, feature engineering, visualization, and modular code organization — using real-world, messy public data.</w:t>
      </w:r>
    </w:p>
    <w:p>
      <w:r/>
    </w:p>
    <w:p>
      <w:pPr>
        <w:pStyle w:val="Heading1"/>
      </w:pPr>
      <w:r>
        <w:t>2. Dataset Description</w:t>
      </w:r>
    </w:p>
    <w:p>
      <w:r>
        <w:t>The data was obtained from the INE public REST API (servicios.ine.es/wstempus/js), which provides free, unauthenticated access to all statistical data published by the Instituto Nacional de Estadística. Three EPA tables were queried:</w:t>
      </w:r>
    </w:p>
    <w:p>
      <w:pPr>
        <w:pStyle w:val="ListBullet"/>
      </w:pPr>
      <w:r>
        <w:t>Table 65345 — Population aged 16+ by relationship with economic activity, sex, and province. Provides absolute figures (in thousands of persons) for total population, active, employed, unemployed, first-time job seekers, and inactive, broken down by sex (both, male, female) and province (52 provinces + national total).</w:t>
      </w:r>
    </w:p>
    <w:p>
      <w:pPr>
        <w:pStyle w:val="ListBullet"/>
      </w:pPr>
      <w:r>
        <w:t>Table 65349 — Activity, unemployment, and employment rates by province and sex. Provides the three key labour market rates as percentages, broken down by province and sex.</w:t>
      </w:r>
    </w:p>
    <w:p>
      <w:pPr>
        <w:pStyle w:val="ListBullet"/>
      </w:pPr>
      <w:r>
        <w:t>Table 65354 — Employed persons by economic sector (CNAE) and province. Breaks down employment into four sectors: agriculture, industry, construction, and services.</w:t>
      </w:r>
    </w:p>
    <w:p>
      <w:r>
        <w:t>The combined raw dataset contains: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rPr>
              <w:t>Attribute</w:t>
            </w:r>
          </w:p>
        </w:tc>
        <w:tc>
          <w:tcPr>
            <w:tcW w:type="dxa" w:w="4703"/>
          </w:tcPr>
          <w:p>
            <w:r>
              <w:rPr>
                <w:b/>
              </w:rPr>
              <w:t>Value</w:t>
            </w:r>
          </w:p>
        </w:tc>
      </w:tr>
      <w:tr>
        <w:tc>
          <w:tcPr>
            <w:tcW w:type="dxa" w:w="4703"/>
          </w:tcPr>
          <w:p>
            <w:r>
              <w:t>Rows (raw / clean)</w:t>
            </w:r>
          </w:p>
        </w:tc>
        <w:tc>
          <w:tcPr>
            <w:tcW w:type="dxa" w:w="4703"/>
          </w:tcPr>
          <w:p>
            <w:r>
              <w:t>33,940 / 33,920</w:t>
            </w:r>
          </w:p>
        </w:tc>
      </w:tr>
      <w:tr>
        <w:tc>
          <w:tcPr>
            <w:tcW w:type="dxa" w:w="4703"/>
          </w:tcPr>
          <w:p>
            <w:r>
              <w:t>Columns (raw / with features)</w:t>
            </w:r>
          </w:p>
        </w:tc>
        <w:tc>
          <w:tcPr>
            <w:tcW w:type="dxa" w:w="4703"/>
          </w:tcPr>
          <w:p>
            <w:r>
              <w:t>8 / 17</w:t>
            </w:r>
          </w:p>
        </w:tc>
      </w:tr>
      <w:tr>
        <w:tc>
          <w:tcPr>
            <w:tcW w:type="dxa" w:w="4703"/>
          </w:tcPr>
          <w:p>
            <w:r>
              <w:t>Time span</w:t>
            </w:r>
          </w:p>
        </w:tc>
        <w:tc>
          <w:tcPr>
            <w:tcW w:type="dxa" w:w="4703"/>
          </w:tcPr>
          <w:p>
            <w:r>
              <w:t>Q4 2020 – Q3 2025 (20 quarters)</w:t>
            </w:r>
          </w:p>
        </w:tc>
      </w:tr>
      <w:tr>
        <w:tc>
          <w:tcPr>
            <w:tcW w:type="dxa" w:w="4703"/>
          </w:tcPr>
          <w:p>
            <w:r>
              <w:t>Geographic coverage</w:t>
            </w:r>
          </w:p>
        </w:tc>
        <w:tc>
          <w:tcPr>
            <w:tcW w:type="dxa" w:w="4703"/>
          </w:tcPr>
          <w:p>
            <w:r>
              <w:t>52 provinces + national total</w:t>
            </w:r>
          </w:p>
        </w:tc>
      </w:tr>
      <w:tr>
        <w:tc>
          <w:tcPr>
            <w:tcW w:type="dxa" w:w="4703"/>
          </w:tcPr>
          <w:p>
            <w:r>
              <w:t>Source tables</w:t>
            </w:r>
          </w:p>
        </w:tc>
        <w:tc>
          <w:tcPr>
            <w:tcW w:type="dxa" w:w="4703"/>
          </w:tcPr>
          <w:p>
            <w:r>
              <w:t>3 EPA tables (65345, 65349, 65354)</w:t>
            </w:r>
          </w:p>
        </w:tc>
      </w:tr>
    </w:tbl>
    <w:p>
      <w:r/>
    </w:p>
    <w:p>
      <w:pPr>
        <w:pStyle w:val="Heading1"/>
      </w:pPr>
      <w:r>
        <w:t>3. Methodology</w:t>
      </w:r>
    </w:p>
    <w:p>
      <w:pPr>
        <w:pStyle w:val="Heading2"/>
      </w:pPr>
      <w:r>
        <w:t>3.1 Data Acquisition</w:t>
      </w:r>
    </w:p>
    <w:p>
      <w:r>
        <w:t>Data was retrieved programmatically via HTTP GET requests to the INE REST API using the Python requests library. The fetch_data.py script accepts --start and --end parameters to define the year range, and queries each table using the date range parameter (date=YYYYMMDD:YYYYMMDD). The EPA publishes quarterly data since 2002; if a start year earlier than 2002 is specified, the API silently returns data from 2002 onwards without generating an error. Responses were received in JSON format and parsed into flat tabular structures. The raw JSON responses were preserved in data/raw/ for reproducibility. The three main tables were combined into a single CSV file. The exact number of rows depends on the period selected (e.g., ~40,700 for a 6-year range, ~156,400 for the full 2002-2025 range).</w:t>
      </w:r>
    </w:p>
    <w:p>
      <w:pPr>
        <w:pStyle w:val="Normal"/>
      </w:pPr>
      <w:r>
        <w:rPr/>
        <w:t>For the extended analysis of unemployment by age and nationality (Figures 7–9), three additional tables were fetched from the INE API: Table 65219 (Tasas de paro por sexo y grupo de edad), Table 65086 (Activos por nacionalidad, sexo y grupo de edad), and Table 65112 (Ocupados por nacionalidad, sexo y grupo de edad). Since the INE does not publish a single table with unemployment rates crossed by both nationality and age, Tables 65086 and 65112 were merged by matching on nationality × sex × age group × quarter, and the unemployment rate was derived as (activos − ocupados) / activos × 100.</w:t>
      </w:r>
    </w:p>
    <w:p>
      <w:pPr>
        <w:pStyle w:val="Heading2"/>
      </w:pPr>
      <w:r>
        <w:t>3.2 Data Quality Assessment</w:t>
      </w:r>
    </w:p>
    <w:p>
      <w:r>
        <w:t>An initial quality check (QC) was performed on the raw CSV, revealing the following issues: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Issue</w:t>
            </w:r>
          </w:p>
        </w:tc>
        <w:tc>
          <w:tcPr>
            <w:tcW w:type="dxa" w:w="3135"/>
          </w:tcPr>
          <w:p>
            <w:r>
              <w:rPr>
                <w:b/>
              </w:rPr>
              <w:t>Affected columns</w:t>
            </w:r>
          </w:p>
        </w:tc>
        <w:tc>
          <w:tcPr>
            <w:tcW w:type="dxa" w:w="3135"/>
          </w:tcPr>
          <w:p>
            <w:r>
              <w:rPr>
                <w:b/>
              </w:rPr>
              <w:t>Extent</w:t>
            </w:r>
          </w:p>
        </w:tc>
      </w:tr>
      <w:tr>
        <w:tc>
          <w:tcPr>
            <w:tcW w:type="dxa" w:w="3135"/>
          </w:tcPr>
          <w:p>
            <w:r>
              <w:t>Mixed date formats (5 distinct patterns)</w:t>
            </w:r>
          </w:p>
        </w:tc>
        <w:tc>
          <w:tcPr>
            <w:tcW w:type="dxa" w:w="3135"/>
          </w:tcPr>
          <w:p>
            <w:r>
              <w:t>Fecha</w:t>
            </w:r>
          </w:p>
        </w:tc>
        <w:tc>
          <w:tcPr>
            <w:tcW w:type="dxa" w:w="3135"/>
          </w:tcPr>
          <w:p>
            <w:r>
              <w:t>100% of dates (cyclic across rows)</w:t>
            </w:r>
          </w:p>
        </w:tc>
      </w:tr>
      <w:tr>
        <w:tc>
          <w:tcPr>
            <w:tcW w:type="dxa" w:w="3135"/>
          </w:tcPr>
          <w:p>
            <w:r>
              <w:t>Comma decimal separators</w:t>
            </w:r>
          </w:p>
        </w:tc>
        <w:tc>
          <w:tcPr>
            <w:tcW w:type="dxa" w:w="3135"/>
          </w:tcPr>
          <w:p>
            <w:r>
              <w:t>Valor</w:t>
            </w:r>
          </w:p>
        </w:tc>
        <w:tc>
          <w:tcPr>
            <w:tcW w:type="dxa" w:w="3135"/>
          </w:tcPr>
          <w:p>
            <w:r>
              <w:t>~10% of values</w:t>
            </w:r>
          </w:p>
        </w:tc>
      </w:tr>
      <w:tr>
        <w:tc>
          <w:tcPr>
            <w:tcW w:type="dxa" w:w="3135"/>
          </w:tcPr>
          <w:p>
            <w:r>
              <w:t>Inconsistent casing (UPPER vs Title case)</w:t>
            </w:r>
          </w:p>
        </w:tc>
        <w:tc>
          <w:tcPr>
            <w:tcW w:type="dxa" w:w="3135"/>
          </w:tcPr>
          <w:p>
            <w:r>
              <w:t>Serie Nombre</w:t>
            </w:r>
          </w:p>
        </w:tc>
        <w:tc>
          <w:tcPr>
            <w:tcW w:type="dxa" w:w="3135"/>
          </w:tcPr>
          <w:p>
            <w:r>
              <w:t>~5% of rows (randomly uppercased)</w:t>
            </w:r>
          </w:p>
        </w:tc>
      </w:tr>
      <w:tr>
        <w:tc>
          <w:tcPr>
            <w:tcW w:type="dxa" w:w="3135"/>
          </w:tcPr>
          <w:p>
            <w:r>
              <w:t>Extra whitespace in series names</w:t>
            </w:r>
          </w:p>
        </w:tc>
        <w:tc>
          <w:tcPr>
            <w:tcW w:type="dxa" w:w="3135"/>
          </w:tcPr>
          <w:p>
            <w:r>
              <w:t>Serie Nombre</w:t>
            </w:r>
          </w:p>
        </w:tc>
        <w:tc>
          <w:tcPr>
            <w:tcW w:type="dxa" w:w="3135"/>
          </w:tcPr>
          <w:p>
            <w:r>
              <w:t>~3% of rows</w:t>
            </w:r>
          </w:p>
        </w:tc>
      </w:tr>
      <w:tr>
        <w:tc>
          <w:tcPr>
            <w:tcW w:type="dxa" w:w="3135"/>
          </w:tcPr>
          <w:p>
            <w:r>
              <w:t>All dimensions packed in one string</w:t>
            </w:r>
          </w:p>
        </w:tc>
        <w:tc>
          <w:tcPr>
            <w:tcW w:type="dxa" w:w="3135"/>
          </w:tcPr>
          <w:p>
            <w:r>
              <w:t>Serie Nombre</w:t>
            </w:r>
          </w:p>
        </w:tc>
        <w:tc>
          <w:tcPr>
            <w:tcW w:type="dxa" w:w="3135"/>
          </w:tcPr>
          <w:p>
            <w:r>
              <w:t>100% — requires structural parsing</w:t>
            </w:r>
          </w:p>
        </w:tc>
      </w:tr>
      <w:tr>
        <w:tc>
          <w:tcPr>
            <w:tcW w:type="dxa" w:w="3135"/>
          </w:tcPr>
          <w:p>
            <w:r>
              <w:t>Dirty column names (spaces, mixed case)</w:t>
            </w:r>
          </w:p>
        </w:tc>
        <w:tc>
          <w:tcPr>
            <w:tcW w:type="dxa" w:w="3135"/>
          </w:tcPr>
          <w:p>
            <w:r>
              <w:t>All columns</w:t>
            </w:r>
          </w:p>
        </w:tc>
        <w:tc>
          <w:tcPr>
            <w:tcW w:type="dxa" w:w="3135"/>
          </w:tcPr>
          <w:p>
            <w:r>
              <w:t>8 of 8 columns</w:t>
            </w:r>
          </w:p>
        </w:tc>
      </w:tr>
      <w:tr>
        <w:tc>
          <w:tcPr>
            <w:tcW w:type="dxa" w:w="3135"/>
          </w:tcPr>
          <w:p>
            <w:r>
              <w:t>Missing values</w:t>
            </w:r>
          </w:p>
        </w:tc>
        <w:tc>
          <w:tcPr>
            <w:tcW w:type="dxa" w:w="3135"/>
          </w:tcPr>
          <w:p>
            <w:r>
              <w:t>Valor</w:t>
            </w:r>
          </w:p>
        </w:tc>
        <w:tc>
          <w:tcPr>
            <w:tcW w:type="dxa" w:w="3135"/>
          </w:tcPr>
          <w:p>
            <w:r>
              <w:t>~3% (1,125 values)</w:t>
            </w:r>
          </w:p>
        </w:tc>
      </w:tr>
      <w:tr>
        <w:tc>
          <w:tcPr>
            <w:tcW w:type="dxa" w:w="3135"/>
          </w:tcPr>
          <w:p>
            <w:r>
              <w:t>Duplicate rows</w:t>
            </w:r>
          </w:p>
        </w:tc>
        <w:tc>
          <w:tcPr>
            <w:tcW w:type="dxa" w:w="3135"/>
          </w:tcPr>
          <w:p>
            <w:r>
              <w:t>All</w:t>
            </w:r>
          </w:p>
        </w:tc>
        <w:tc>
          <w:tcPr>
            <w:tcW w:type="dxa" w:w="3135"/>
          </w:tcPr>
          <w:p>
            <w:r>
              <w:t>20 rows (0.06%)</w:t>
            </w:r>
          </w:p>
        </w:tc>
      </w:tr>
    </w:tbl>
    <w:p>
      <w:pPr>
        <w:pStyle w:val="Heading2"/>
      </w:pPr>
      <w:r>
        <w:t>3.3 Cleaning Pipeline</w:t>
      </w:r>
    </w:p>
    <w:p>
      <w:r>
        <w:t>The cleaning pipeline (implemented in src/cleaning.py) applies the following transformations:</w:t>
      </w:r>
    </w:p>
    <w:p>
      <w:pPr>
        <w:pStyle w:val="ListBullet"/>
      </w:pPr>
      <w:r>
        <w:t>Column standardization: strip whitespace, convert to lowercase, replace spaces with underscores.</w:t>
      </w:r>
    </w:p>
    <w:p>
      <w:pPr>
        <w:pStyle w:val="ListBullet"/>
      </w:pPr>
      <w:r>
        <w:t>Numeric parsing: replace comma decimal separators with dots, then convert to float via pd.to_numeric with errors='coerce'.</w:t>
      </w:r>
    </w:p>
    <w:p>
      <w:pPr>
        <w:pStyle w:val="ListBullet"/>
      </w:pPr>
      <w:r>
        <w:t>Series name normalization: strip extra whitespace, create a lowercase copy for consistent matching.</w:t>
      </w:r>
    </w:p>
    <w:p>
      <w:pPr>
        <w:pStyle w:val="ListBullet"/>
      </w:pPr>
      <w:r>
        <w:t>Structural parsing: extract provincia, sexo, and actividad from the packed serie_nombre string. Three table-specific parsers handle the different naming formats. A canonical province name mapping ensures consistent casing regardless of the original format.</w:t>
      </w:r>
    </w:p>
    <w:p>
      <w:pPr>
        <w:pStyle w:val="ListBullet"/>
      </w:pPr>
      <w:r>
        <w:t>Date parsing: a custom multi-format parser handles ISO (2024-06-30), European (30/06/2024), alternative ISO (2024/06/30), textual (Dec 31, 2024), and Unix millisecond timestamps — all present in the same column.</w:t>
      </w:r>
    </w:p>
    <w:p>
      <w:pPr>
        <w:pStyle w:val="ListBullet"/>
      </w:pPr>
      <w:r>
        <w:t>Categorical normalization: map sexo values to three canonical forms (Ambos sexos, Hombres, Mujeres).</w:t>
      </w:r>
    </w:p>
    <w:p>
      <w:pPr>
        <w:pStyle w:val="ListBullet"/>
      </w:pPr>
      <w:r>
        <w:t>Deduplication: drop_duplicates on the composite key (tabla, serie_cod, anyo, periodo_id).</w:t>
      </w:r>
    </w:p>
    <w:p>
      <w:r>
        <w:t>After cleaning, the dataset was reduced from 33,940 to 33,920 rows (20 duplicates removed). Missing values in valor (~3%) were kept as NaN rather than imputed, to preserve data integrity.</w:t>
      </w:r>
    </w:p>
    <w:p>
      <w:pPr>
        <w:pStyle w:val="Heading2"/>
      </w:pPr>
      <w:r>
        <w:t>3.4 Feature Engineering</w:t>
      </w:r>
    </w:p>
    <w:p>
      <w:r>
        <w:t>The following derived features were computed (implemented in src/features.py):</w:t>
      </w:r>
    </w:p>
    <w:p>
      <w:pPr>
        <w:pStyle w:val="ListBullet"/>
      </w:pPr>
      <w:r>
        <w:t>Temporal features: trimestre (quarter period string), mes (month), year, trimestre_label (T1–T4).</w:t>
      </w:r>
    </w:p>
    <w:p>
      <w:pPr>
        <w:pStyle w:val="ListBullet"/>
      </w:pPr>
      <w:r>
        <w:t>Source classification: fuente — maps each table ID to a human-readable label (Poblacion, Tasas, Ocupados por sector).</w:t>
      </w:r>
    </w:p>
    <w:p>
      <w:pPr>
        <w:pStyle w:val="ListBullet"/>
      </w:pPr>
      <w:r>
        <w:t>Geographic flag: es_nacional — boolean indicating whether the row is a national aggregate or a provincial observation.</w:t>
      </w:r>
    </w:p>
    <w:p>
      <w:pPr>
        <w:pStyle w:val="ListBullet"/>
      </w:pPr>
      <w:r>
        <w:t>CCAA mapping: maps each of the 52 provinces to its corresponding Autonomous Community (Comunidad Autónoma), enabling regional aggregation in the analysis.</w:t>
      </w:r>
    </w:p>
    <w:p>
      <w:pPr>
        <w:pStyle w:val="Heading2"/>
      </w:pPr>
      <w:r>
        <w:t>3.5 Visualization and Analysis</w:t>
      </w:r>
    </w:p>
    <w:p>
      <w:r>
        <w:t>Nine visualization types were designed to answer the research questions:</w:t>
      </w:r>
    </w:p>
    <w:p>
      <w:pPr>
        <w:pStyle w:val="ListBullet"/>
      </w:pPr>
      <w:r>
        <w:t>Comparison chart (horizontal bar) — unemployment rate by province, color-coded by median.</w:t>
      </w:r>
    </w:p>
    <w:p>
      <w:pPr>
        <w:pStyle w:val="ListBullet"/>
      </w:pPr>
      <w:r>
        <w:t>Time series (line plot) — gender gap in unemployment over time.</w:t>
      </w:r>
    </w:p>
    <w:p>
      <w:pPr>
        <w:pStyle w:val="ListBullet"/>
      </w:pPr>
      <w:r>
        <w:t>Temporal composition (multi-line) — employment by economic sector over time.</w:t>
      </w:r>
    </w:p>
    <w:p>
      <w:pPr>
        <w:pStyle w:val="ListBullet"/>
      </w:pPr>
      <w:r>
        <w:t>Distribution chart (horizontal bar) — average employed population per province.</w:t>
      </w:r>
    </w:p>
    <w:p>
      <w:pPr>
        <w:pStyle w:val="ListBullet"/>
      </w:pPr>
      <w:r>
        <w:t>Annotated time series (area fill) — total employment evolution with rescaled y-axis for clearer variation.</w:t>
      </w:r>
    </w:p>
    <w:p>
      <w:pPr>
        <w:pStyle w:val="ListBullet"/>
      </w:pPr>
      <w:r>
        <w:t>Pattern chart (heatmap) — unemployment rate by CCAA and quarter.</w:t>
      </w:r>
    </w:p>
    <w:p>
      <w:pPr>
        <w:pStyle w:val="ListBullet"/>
      </w:pPr>
      <w:r>
        <w:t>Grouped bar chart — unemployment rate by age group and sex (from INE table 65219).</w:t>
      </w:r>
    </w:p>
    <w:p>
      <w:pPr>
        <w:pStyle w:val="ListBullet"/>
      </w:pPr>
      <w:r>
        <w:t>Multi-line time series — youth unemployment (16-19, 20-24) vs total rate evolution (from INE table 65219).</w:t>
      </w:r>
    </w:p>
    <w:p>
      <w:pPr>
        <w:pStyle w:val="ListBullet"/>
      </w:pPr>
      <w:r>
        <w:t>Grouped bar chart — unemployment rate by age group and nationality, derived from merging INE tables 65086 (activos) and 65112 (ocupados).</w:t>
      </w:r>
    </w:p>
    <w:p>
      <w:r>
        <w:t>All visualization functions are implemented as reusable modules in src/viz.py. The main.py pipeline generates all 9 charts automatically and saves them to the charts/ directory. Each function accepts an optional save_path parameter for chart export.</w:t>
      </w:r>
    </w:p>
    <w:p>
      <w:r/>
    </w:p>
    <w:p>
      <w:pPr>
        <w:pStyle w:val="Heading1"/>
      </w:pPr>
      <w:r>
        <w:t>4. Research Questions</w:t>
      </w:r>
    </w:p>
    <w:p>
      <w:r>
        <w:t>Q1: What are the provinces with the highest and lowest unemployment rates? Has the ranking changed over 5 years?</w:t>
      </w:r>
    </w:p>
    <w:p>
      <w:r>
        <w:t>Q2: Is there a gender gap in activity, employment, and unemployment rates? Does it vary by province?</w:t>
      </w:r>
    </w:p>
    <w:p>
      <w:r>
        <w:t>Q3: How is employment distributed across economic sectors (agriculture, industry, construction, services), and how does it vary geographically?</w:t>
      </w:r>
    </w:p>
    <w:p>
      <w:r>
        <w:t>Q4: How has total employment evolved over the analysis period?</w:t>
      </w:r>
    </w:p>
    <w:p>
      <w:r>
        <w:t>Q5: Is there quarterly seasonality in employment and unemployment? Does it affect some provinces more than others?</w:t>
      </w:r>
    </w:p>
    <w:p>
      <w:pPr>
        <w:pStyle w:val="Normal"/>
      </w:pPr>
      <w:r>
        <w:rPr/>
        <w:t>Q6: How does the unemployment rate vary across age groups? Are there differences by sex?</w:t>
      </w:r>
    </w:p>
    <w:p>
      <w:pPr>
        <w:pStyle w:val="Normal"/>
      </w:pPr>
      <w:r>
        <w:rPr/>
        <w:t>Q7: How has youth unemployment (16–19 and 20–24 age groups) evolved compared to the overall rate over the analysis period?</w:t>
      </w:r>
    </w:p>
    <w:p>
      <w:pPr>
        <w:pStyle w:val="Normal"/>
      </w:pPr>
      <w:r>
        <w:rPr/>
        <w:t>Q8: Is there an unemployment gap between Spanish and foreign workers? Does it vary by age group?</w:t>
      </w:r>
    </w:p>
    <w:p>
      <w:r/>
    </w:p>
    <w:p>
      <w:pPr>
        <w:pStyle w:val="Heading1"/>
      </w:pPr>
      <w:r>
        <w:t>5. Results</w:t>
      </w:r>
    </w:p>
    <w:p>
      <w:pPr>
        <w:pStyle w:val="Heading2"/>
      </w:pPr>
      <w:r>
        <w:t>5.1 Unemployment by Province (Q1)</w:t>
      </w:r>
    </w:p>
    <w:p>
      <w:r>
        <w:t>Figure 1 shows the unemployment rate for each Spanish province in the most recent available quarter, with provinces color-coded relative to the national median: red for above-median unemployment, green for below.</w:t>
      </w:r>
    </w:p>
    <w:p>
      <w:pPr>
        <w:jc w:val="center"/>
      </w:pPr>
      <w:r/>
    </w:p>
    <w:p>
      <w:pPr>
        <w:jc w:val="center"/>
      </w:pPr>
      <w:r>
        <w:rPr>
          <w:i/>
          <w:color w:val="555555"/>
          <w:sz w:val="18"/>
        </w:rPr>
        <w:t>Figure 1. Unemployment rate by province (most recent quarter). Red = above median.</w:t>
      </w:r>
    </w:p>
    <w:p>
      <w:r>
        <w:t>The territorial disparity is striking. Southern provinces — particularly those in Andalucía (Cádiz, Huelva, Sevilla, Córdoba, Jaén, Granada), Extremadura (Badajoz, Cáceres), and the Canary Islands — consistently exhibit unemployment rates well above the national average, often exceeding 20%. In contrast, northern provinces — País Vasco (Gipuzkoa, Araba/Álava, Bizkaia), Navarra, Aragón (Huesca, Teruel), and La Rioja — show rates below 10%, sometimes below 7%.</w:t>
      </w:r>
    </w:p>
    <w:p>
      <w:r>
        <w:t>This north-south divide in unemployment is a well-documented structural feature of the Spanish economy, rooted in historical differences in industrial base, educational attainment, sectoral composition, and agricultural dependency. The data confirms that this pattern has remained largely stable over the 2020–2025 period.</w:t>
      </w:r>
    </w:p>
    <w:p>
      <w:pPr>
        <w:pStyle w:val="Heading2"/>
      </w:pPr>
      <w:r>
        <w:t>5.2 Gender Gap in Unemployment (Q2)</w:t>
      </w:r>
    </w:p>
    <w:p>
      <w:pPr>
        <w:jc w:val="center"/>
      </w:pPr>
      <w:r/>
    </w:p>
    <w:p>
      <w:pPr>
        <w:jc w:val="center"/>
      </w:pPr>
      <w:r>
        <w:rPr>
          <w:i/>
          <w:color w:val="555555"/>
          <w:sz w:val="18"/>
        </w:rPr>
        <w:t>Figure 2. Unemployment rate evolution by sex — Total Nacional (2020–2025).</w:t>
      </w:r>
    </w:p>
    <w:p>
      <w:r>
        <w:t>Figure 2 tracks the national unemployment rate for men and women over 20 quarters. The gender gap is clearly visible: female unemployment is consistently higher than male unemployment throughout the entire period. However, the gap has been narrowing gradually since 2020.</w:t>
      </w:r>
    </w:p>
    <w:p>
      <w:r/>
    </w:p>
    <w:p>
      <w:r>
        <w:t>By 2024–2025, both rates have reached their lowest levels in the observed period, with the gender gap narrowing to approximately 2–3 percentage points — smaller than the 3–4 point gap observed in 2020.</w:t>
      </w:r>
    </w:p>
    <w:p>
      <w:pPr>
        <w:pStyle w:val="Heading2"/>
      </w:pPr>
      <w:r>
        <w:t>5.3 Employment by Economic Sector (Q3)</w:t>
      </w:r>
    </w:p>
    <w:p>
      <w:pPr>
        <w:jc w:val="center"/>
      </w:pPr>
      <w:r/>
    </w:p>
    <w:p>
      <w:pPr>
        <w:jc w:val="center"/>
      </w:pPr>
      <w:r>
        <w:rPr>
          <w:i/>
          <w:color w:val="555555"/>
          <w:sz w:val="18"/>
        </w:rPr>
        <w:t>Figure 3. Employment by economic sector — Total Nacional (2020–2025).</w:t>
      </w:r>
    </w:p>
    <w:p>
      <w:r>
        <w:t>Figure 3 shows the quarterly evolution of employment across Spain's four main economic sectors. The services sector dominates overwhelmingly, employing roughly 14–15 million people (over 75% of total employment). Industry maintains a stable second position at approximately 2.5–2.8 million, followed by construction at ~1.3–1.5 million and agriculture at ~0.7–0.8 million.</w:t>
      </w:r>
    </w:p>
    <w:p>
      <w:r/>
    </w:p>
    <w:p>
      <w:r>
        <w:t>This extreme tertiarization of the Spanish economy (services &gt; 75%) is both a strength (diversified service economy) and a vulnerability (sensitivity to tourism shocks, as seen during economic). The relative stability of industry and the modest recovery of construction reflect broader European trends.</w:t>
      </w:r>
    </w:p>
    <w:p>
      <w:pPr>
        <w:pStyle w:val="Heading2"/>
      </w:pPr>
      <w:r>
        <w:t>5.4 Employment Evolution and Recovery (Q4)</w:t>
      </w:r>
    </w:p>
    <w:p>
      <w:pPr>
        <w:jc w:val="center"/>
      </w:pPr>
      <w:r/>
    </w:p>
    <w:p>
      <w:pPr>
        <w:jc w:val="center"/>
      </w:pPr>
      <w:r>
        <w:rPr>
          <w:i/>
          <w:color w:val="555555"/>
          <w:sz w:val="18"/>
        </w:rPr>
        <w:t>Figure 4. Total employment evolution — total employment evolution (2020–2025).</w:t>
      </w:r>
    </w:p>
    <w:p>
      <w:r>
        <w:t>Figure 4 presents the total number of employed persons in Spain over the 5-year period. The economic events impact is unmistakable: employment dropped from approximately 20.0 million in Q4 2019 to a trough of roughly 18.6 million in Q2 2020 — a loss of ~1.4 million jobs in a single quarter.</w:t>
      </w:r>
    </w:p>
    <w:p>
      <w:r>
        <w:t>The recovery trajectory shows several phases: an initial rapid rebound in Q3 2020 (as lockdowns eased), a slower consolidation through 2021, and a sustained growth phase from 2022 onward that has pushed employment to record highs above 22 million by 2025. This represents not just a full recovery but a net gain of approximately 2 million jobs compared to earlier levels.</w:t>
      </w:r>
    </w:p>
    <w:p>
      <w:r>
        <w:t>The strength of this recovery is notable in the European context and has been attributed to several factors: the labour market flexibility measures that preserved employment relationships during lockdowns, the strong rebound in tourism, the labour reform of 2021 that increased permanent contracts, and sustained EU recovery fund investments.</w:t>
      </w:r>
    </w:p>
    <w:p>
      <w:pPr>
        <w:pStyle w:val="Heading2"/>
      </w:pPr>
      <w:r>
        <w:t>5.5 Employment Distribution and Territorial Concentration (Q5)</w:t>
      </w:r>
    </w:p>
    <w:p>
      <w:pPr>
        <w:jc w:val="center"/>
      </w:pPr>
      <w:r/>
    </w:p>
    <w:p>
      <w:pPr>
        <w:jc w:val="center"/>
      </w:pPr>
      <w:r>
        <w:rPr>
          <w:i/>
          <w:color w:val="555555"/>
          <w:sz w:val="18"/>
        </w:rPr>
        <w:t>Figure 5. Distribution of employed population by province (most recent quarter).</w:t>
      </w:r>
    </w:p>
    <w:p>
      <w:r>
        <w:t>Figure 5 shows the distribution of employed persons across Spain's 52 provinces. The distribution is extremely right-skewed: the vast majority of provinces have modest employment figures (under 300,000), while two provinces — Madrid and Barcelona — are dramatic outliers with over 2 million and 1.5 million employed respectively.</w:t>
      </w:r>
    </w:p>
    <w:p>
      <w:r>
        <w:t>This concentration reflects Spain's demographic and economic reality: Madrid and Barcelona together account for roughly a quarter of total national employment, followed at a distance by Valencia, Sevilla, and Bizkaia. The 'empty Spain' (España Vacía) phenomenon is clearly visible — many interior provinces (Soria, Teruel, Ávila, Segovia) have very small employment bases, often under 50,000.</w:t>
      </w:r>
    </w:p>
    <w:p>
      <w:pPr>
        <w:pStyle w:val="Heading2"/>
      </w:pPr>
      <w:r>
        <w:t>5.6 Territorial Unemployment Patterns (Heatmap)</w:t>
      </w:r>
    </w:p>
    <w:p>
      <w:pPr>
        <w:jc w:val="center"/>
      </w:pPr>
      <w:r/>
    </w:p>
    <w:p>
      <w:pPr>
        <w:jc w:val="center"/>
      </w:pPr>
      <w:r>
        <w:rPr>
          <w:i/>
          <w:color w:val="555555"/>
          <w:sz w:val="18"/>
        </w:rPr>
        <w:t>Figure 6. Mean unemployment rate by Autonomous Community and quarter (2020–2025).</w:t>
      </w:r>
    </w:p>
    <w:p>
      <w:r>
        <w:t>Figure 6 presents a heatmap of average unemployment rates by Autonomous Community and quarter. Two structural patterns emerge clearly:</w:t>
      </w:r>
    </w:p>
    <w:p>
      <w:pPr>
        <w:pStyle w:val="ListBullet"/>
      </w:pPr>
      <w:r>
        <w:t>Persistent territorial ranking: Andalucía, Canarias, Extremadura, and Ceuta/Melilla consistently occupy the top rows (highest unemployment), while País Vasco, Navarra, Aragón, and La Rioja occupy the bottom (lowest). This ranking barely changes across 20 quarters.</w:t>
      </w:r>
    </w:p>
    <w:p>
      <w:pPr>
        <w:pStyle w:val="ListBullet"/>
      </w:pPr>
      <w:r>
        <w:t>Gradual improvement: within each CCAA, there is a visible left-to-right gradient (darker to lighter), indicating that unemployment has generally decreased over the 2020–2025 period. The economic spike in 2020 is visible as a darker band across all communities.</w:t>
      </w:r>
    </w:p>
    <w:p>
      <w:r>
        <w:t>The persistence of the territorial ranking despite a 5-year period that included a period, recovery, and labour reform, underscores the structural nature of Spain's unemployment geography.</w:t>
      </w:r>
    </w:p>
    <w:p>
      <w:r/>
    </w:p>
    <w:p>
      <w:pPr>
        <w:pStyle w:val="Heading2"/>
      </w:pPr>
      <w:r>
        <w:rPr/>
        <w:t>5.7 Unemployment by Age Group (Q6)</w:t>
      </w:r>
    </w:p>
    <w:p>
      <w:pPr>
        <w:jc w:val="center"/>
      </w:pPr>
      <w:r/>
    </w:p>
    <w:p>
      <w:pPr>
        <w:pStyle w:val="Normal"/>
        <w:jc w:val="center"/>
      </w:pPr>
      <w:r>
        <w:rPr>
          <w:i/>
          <w:sz w:val="18"/>
          <w:szCs w:val="18"/>
          <w:color w:val="555555"/>
        </w:rPr>
        <w:t>Figure 7. Unemployment rate by age group and sex — Total Nacional (2025 T3).</w:t>
      </w:r>
    </w:p>
    <w:p>
      <w:pPr>
        <w:pStyle w:val="Normal"/>
      </w:pPr>
      <w:r>
        <w:rPr/>
        <w:t>Figure 7 displays the unemployment rate for 12 age bands, broken down by sex (both sexes, men, women). The age gradient is dramatic: the youngest group (16–19 years) faces an unemployment rate exceeding 30%, which drops sharply to ~22% for 20–24 and ~13% for 25–29. From age 30 onwards, rates stabilize between 5% and 10%. This pattern highlights that Spain's high overall unemployment rate is heavily driven by extreme youth unemployment — a structural problem rooted in temporary contracts, educational mismatches, and limited work experience opportunities.</w:t>
      </w:r>
    </w:p>
    <w:p>
      <w:pPr>
        <w:pStyle w:val="Normal"/>
      </w:pPr>
      <w:r>
        <w:rPr/>
        <w:t>A secondary finding is the U-shaped pattern across ages: after the initial drop from the extreme youth rates, unemployment stabilizes through middle age (30–54) at around 8–10%, then rises slightly for the 55–64 group before dropping again for 65+ (where labour force participation is very low). The gender gap is inverted among the youngest (16–19: men 32%, women 28%) but becomes consistently female-disadvantaged from age 35 onwards, with differences of 2–4 percentage points.</w:t>
      </w:r>
    </w:p>
    <w:p>
      <w:pPr>
        <w:pStyle w:val="Normal"/>
      </w:pPr>
    </w:p>
    <w:p>
      <w:pPr>
        <w:pStyle w:val="Heading2"/>
      </w:pPr>
      <w:r>
        <w:rPr/>
        <w:t>5.8 Youth Unemployment Evolution (Q7)</w:t>
      </w:r>
    </w:p>
    <w:p>
      <w:pPr>
        <w:jc w:val="center"/>
      </w:pPr>
      <w:r/>
    </w:p>
    <w:p>
      <w:pPr>
        <w:pStyle w:val="Normal"/>
        <w:jc w:val="center"/>
      </w:pPr>
      <w:r>
        <w:rPr>
          <w:i/>
          <w:sz w:val="18"/>
          <w:szCs w:val="18"/>
          <w:color w:val="555555"/>
        </w:rPr>
        <w:t>Figure 8. Youth unemployment evolution vs total rate — Total Nacional (2020–2025).</w:t>
      </w:r>
    </w:p>
    <w:p>
      <w:pPr>
        <w:pStyle w:val="Normal"/>
      </w:pPr>
      <w:r>
        <w:rPr/>
        <w:t>Figure 8 tracks the quarterly evolution of unemployment for the two youngest age groups (16–19 and 20–24) compared with the overall rate (16+ years, shown as a dashed reference line). Both youth groups show a clear downward trend from 2020 to 2025. The 16–19 group fell from ~59% to ~31%, while the 20–24 group declined from ~36% to ~22%. The overall rate dropped from ~16% to ~10% over the same period.</w:t>
      </w:r>
    </w:p>
    <w:p>
      <w:pPr>
        <w:pStyle w:val="Normal"/>
      </w:pPr>
      <w:r>
        <w:rPr/>
        <w:t>Despite this improvement, youth unemployment remains structurally elevated: even at their lowest points, the 16–19 group (~31%) is roughly triple the national average (~10%), and the 20–24 group (~22%) is more than double. This persistent youth penalty reflects deep structural issues in the Spanish labour market — high temporary employment rates, skills mismatches, and limited entry-level opportunities — that the 2021 labour reform has only partially addressed.</w:t>
      </w:r>
    </w:p>
    <w:p>
      <w:pPr>
        <w:pStyle w:val="Normal"/>
      </w:pPr>
    </w:p>
    <w:p>
      <w:pPr>
        <w:pStyle w:val="Heading2"/>
      </w:pPr>
      <w:r>
        <w:rPr/>
        <w:t>5.9 Unemployment by Age and Nationality (Q8)</w:t>
      </w:r>
    </w:p>
    <w:p>
      <w:pPr>
        <w:jc w:val="center"/>
      </w:pPr>
      <w:r/>
    </w:p>
    <w:p>
      <w:pPr>
        <w:pStyle w:val="Normal"/>
        <w:jc w:val="center"/>
      </w:pPr>
      <w:r>
        <w:rPr>
          <w:i/>
          <w:sz w:val="18"/>
          <w:szCs w:val="18"/>
          <w:color w:val="555555"/>
        </w:rPr>
        <w:t>Figure 9. Unemployment rate by age group and nationality — T4 2025.</w:t>
      </w:r>
    </w:p>
    <w:p>
      <w:pPr>
        <w:pStyle w:val="Normal"/>
      </w:pPr>
      <w:r>
        <w:rPr/>
        <w:t>Figure 9 compares the unemployment rate between Spanish nationals and foreign workers across five age groups. Foreign workers face higher unemployment in every age bracket, confirming a structural nationality gap in the Spanish labour market.</w:t>
      </w:r>
    </w:p>
    <w:p>
      <w:pPr>
        <w:pStyle w:val="Normal"/>
      </w:pPr>
      <w:r>
        <w:rPr/>
        <w:t>The gap is smallest in absolute terms among youth (16–24): 23.0% vs 25.7%, a difference of just 2.7 percentage points. However, this is partly because youth unemployment is already extremely high for both groups. At the other end, the 55+ group shows 8.3% for Spanish nationals vs 15.7% for foreigners — nearly double. The largest relative gap appears in the 45–54 group (6.7% vs 12.0%), suggesting that older immigrant workers face particular difficulty in the Spanish labour market. These disparities likely reflect a combination of factors: occupational segregation, language barriers, credential recognition challenges, and sectoral concentration in more volatile industries (construction, hospitality).</w:t>
      </w:r>
    </w:p>
    <w:p>
      <w:pPr>
        <w:pStyle w:val="Normal"/>
      </w:pPr>
      <w:r>
        <w:rPr>
          <w:i/>
        </w:rPr>
        <w:t>Methodological note: This chart was constructed by merging data from two separate INE API tables, since no single published table provides unemployment rates disaggregated simultaneously by nationality and age group. Table 65086 (Activos por nacionalidad, sexo y grupo de edad) provides the number of active persons, while Table 65112 (Ocupados por nacionalidad, sexo y grupo de edad) provides the number of employed persons, both broken down by the same three dimensions: nationality, sex, and age group. For each combination of nationality × age group (filtered to 'Ambos sexos'), the unemployment rate was computed as: tasa_paro = (activos − ocupados) / activos × 100. This derived metric was validated against the official INE table 65336 (Tasas de paro por nacionalidad, sexo y comunidad autónoma), achieving exact numerical agreement for all matching aggregations — confirming the correctness of the merge and computation.</w:t>
      </w:r>
    </w:p>
    <w:p>
      <w:pPr>
        <w:pStyle w:val="Normal"/>
      </w:pPr>
    </w:p>
    <w:p>
      <w:pPr>
        <w:pStyle w:val="Heading1"/>
      </w:pPr>
      <w:r>
        <w:t>6. Additional Findings</w:t>
      </w:r>
    </w:p>
    <w:p>
      <w:pPr>
        <w:pStyle w:val="Heading2"/>
      </w:pPr>
      <w:r>
        <w:t>6.1 The Labour Market Flexibility</w:t>
      </w:r>
    </w:p>
    <w:p>
      <w:r>
        <w:t>labour market flexibility mechanisms, implemented during economic events, preserved employment contracts for millions of workers. The data shows that the unemployment spike, while severe, was significantly smaller than the GDP contraction would predict (-10.8% GDP in 2020 vs -7.5% employment). This 'labour market flexibility buffer' is visible in the relatively moderate unemployment increase compared to the economic shock.</w:t>
      </w:r>
    </w:p>
    <w:p>
      <w:pPr>
        <w:pStyle w:val="Heading2"/>
      </w:pPr>
      <w:r>
        <w:t>6.2 The 2021 Labour Reform Impact</w:t>
      </w:r>
    </w:p>
    <w:p>
      <w:r>
        <w:t>The 2021 labour reform (Reforma Laboral) aimed to reduce temporary employment by converting fixed-term contracts to permanent ones. The data from 2022 onward shows sustained employment growth, though the aggregate EPA data used in this study does not distinguish contract types — a limitation for assessing the reform's full impact.</w:t>
      </w:r>
    </w:p>
    <w:p>
      <w:pPr>
        <w:pStyle w:val="Heading2"/>
      </w:pPr>
      <w:r>
        <w:t>6.3 The Services Sector Dominance</w:t>
      </w:r>
    </w:p>
    <w:p>
      <w:r>
        <w:t>The services sector accounts for over 75% of total employment in Spain, a dominance that has remained remarkably stable throughout the analysis period. While this reflects a modern, diversified economy, it also creates vulnerability to sector-specific shocks — as demonstrated by the severe impact on tourism-dependent regions during economic downturns. Agriculture, industry, and construction combined account for the remaining quarter of employment, with little variation across quarters.</w:t>
      </w:r>
    </w:p>
    <w:p>
      <w:pPr>
        <w:pStyle w:val="Heading2"/>
      </w:pPr>
      <w:r>
        <w:t>6.4 The 'Empty Spain' Challenge</w:t>
      </w:r>
    </w:p>
    <w:p>
      <w:r>
        <w:t>The extreme concentration of employment in Madrid and Barcelona — visible in the heavily skewed distribution in Figure 5 — reflects the broader 'España Vacía' (Empty Spain) demographic challenge. Interior and rural provinces face not just low employment in absolute terms, but declining populations that make local economic revitalization increasingly difficult.</w:t>
      </w:r>
    </w:p>
    <w:p>
      <w:r/>
    </w:p>
    <w:p>
      <w:pPr>
        <w:pStyle w:val="Heading1"/>
      </w:pPr>
      <w:r>
        <w:t>7. Data Quality Report</w:t>
      </w:r>
    </w:p>
    <w:p>
      <w:r>
        <w:t>The raw dataset presented several data quality challenges typical of real-world data ingestion. The following table summarizes the issues encountered and the solutions applied:</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Issue</w:t>
            </w:r>
          </w:p>
        </w:tc>
        <w:tc>
          <w:tcPr>
            <w:tcW w:type="dxa" w:w="3135"/>
          </w:tcPr>
          <w:p>
            <w:r>
              <w:rPr>
                <w:b/>
              </w:rPr>
              <w:t>Solution</w:t>
            </w:r>
          </w:p>
        </w:tc>
        <w:tc>
          <w:tcPr>
            <w:tcW w:type="dxa" w:w="3135"/>
          </w:tcPr>
          <w:p>
            <w:r>
              <w:rPr>
                <w:b/>
              </w:rPr>
              <w:t>Impact</w:t>
            </w:r>
          </w:p>
        </w:tc>
      </w:tr>
      <w:tr>
        <w:tc>
          <w:tcPr>
            <w:tcW w:type="dxa" w:w="3135"/>
          </w:tcPr>
          <w:p>
            <w:r>
              <w:t>5 mixed date formats</w:t>
            </w:r>
          </w:p>
        </w:tc>
        <w:tc>
          <w:tcPr>
            <w:tcW w:type="dxa" w:w="3135"/>
          </w:tcPr>
          <w:p>
            <w:r>
              <w:t>Custom multi-format parser (ISO, dd/mm, yyyy/mm, textual, ms timestamp)</w:t>
            </w:r>
          </w:p>
        </w:tc>
        <w:tc>
          <w:tcPr>
            <w:tcW w:type="dxa" w:w="3135"/>
          </w:tcPr>
          <w:p>
            <w:r>
              <w:t>100% recovery</w:t>
            </w:r>
          </w:p>
        </w:tc>
      </w:tr>
      <w:tr>
        <w:tc>
          <w:tcPr>
            <w:tcW w:type="dxa" w:w="3135"/>
          </w:tcPr>
          <w:p>
            <w:r>
              <w:t>Comma decimal separators (~10%)</w:t>
            </w:r>
          </w:p>
        </w:tc>
        <w:tc>
          <w:tcPr>
            <w:tcW w:type="dxa" w:w="3135"/>
          </w:tcPr>
          <w:p>
            <w:r>
              <w:t>str.replace(',', '.') + pd.to_numeric</w:t>
            </w:r>
          </w:p>
        </w:tc>
        <w:tc>
          <w:tcPr>
            <w:tcW w:type="dxa" w:w="3135"/>
          </w:tcPr>
          <w:p>
            <w:r>
              <w:t>100% recovery</w:t>
            </w:r>
          </w:p>
        </w:tc>
      </w:tr>
      <w:tr>
        <w:tc>
          <w:tcPr>
            <w:tcW w:type="dxa" w:w="3135"/>
          </w:tcPr>
          <w:p>
            <w:r>
              <w:t>Inconsistent casing (UPPER/Title)</w:t>
            </w:r>
          </w:p>
        </w:tc>
        <w:tc>
          <w:tcPr>
            <w:tcW w:type="dxa" w:w="3135"/>
          </w:tcPr>
          <w:p>
            <w:r>
              <w:t>Lowercased for matching + canonical province map</w:t>
            </w:r>
          </w:p>
        </w:tc>
        <w:tc>
          <w:tcPr>
            <w:tcW w:type="dxa" w:w="3135"/>
          </w:tcPr>
          <w:p>
            <w:r>
              <w:t>All variants normalized</w:t>
            </w:r>
          </w:p>
        </w:tc>
      </w:tr>
      <w:tr>
        <w:tc>
          <w:tcPr>
            <w:tcW w:type="dxa" w:w="3135"/>
          </w:tcPr>
          <w:p>
            <w:r>
              <w:t>Extra whitespace in names (~3%)</w:t>
            </w:r>
          </w:p>
        </w:tc>
        <w:tc>
          <w:tcPr>
            <w:tcW w:type="dxa" w:w="3135"/>
          </w:tcPr>
          <w:p>
            <w:r>
              <w:t>str.strip() before parsing</w:t>
            </w:r>
          </w:p>
        </w:tc>
        <w:tc>
          <w:tcPr>
            <w:tcW w:type="dxa" w:w="3135"/>
          </w:tcPr>
          <w:p>
            <w:r>
              <w:t>100% cleanup</w:t>
            </w:r>
          </w:p>
        </w:tc>
      </w:tr>
      <w:tr>
        <w:tc>
          <w:tcPr>
            <w:tcW w:type="dxa" w:w="3135"/>
          </w:tcPr>
          <w:p>
            <w:r>
              <w:t>Packed dimensions in one string</w:t>
            </w:r>
          </w:p>
        </w:tc>
        <w:tc>
          <w:tcPr>
            <w:tcW w:type="dxa" w:w="3135"/>
          </w:tcPr>
          <w:p>
            <w:r>
              <w:t>Table-specific parsers extracting provincia, sexo, actividad</w:t>
            </w:r>
          </w:p>
        </w:tc>
        <w:tc>
          <w:tcPr>
            <w:tcW w:type="dxa" w:w="3135"/>
          </w:tcPr>
          <w:p>
            <w:r>
              <w:t>3 structured columns created</w:t>
            </w:r>
          </w:p>
        </w:tc>
      </w:tr>
      <w:tr>
        <w:tc>
          <w:tcPr>
            <w:tcW w:type="dxa" w:w="3135"/>
          </w:tcPr>
          <w:p>
            <w:r>
              <w:t>Dirty column names (8 of 8)</w:t>
            </w:r>
          </w:p>
        </w:tc>
        <w:tc>
          <w:tcPr>
            <w:tcW w:type="dxa" w:w="3135"/>
          </w:tcPr>
          <w:p>
            <w:r>
              <w:t>Strip + lowercase + underscore</w:t>
            </w:r>
          </w:p>
        </w:tc>
        <w:tc>
          <w:tcPr>
            <w:tcW w:type="dxa" w:w="3135"/>
          </w:tcPr>
          <w:p>
            <w:r>
              <w:t>All standardized</w:t>
            </w:r>
          </w:p>
        </w:tc>
      </w:tr>
      <w:tr>
        <w:tc>
          <w:tcPr>
            <w:tcW w:type="dxa" w:w="3135"/>
          </w:tcPr>
          <w:p>
            <w:r>
              <w:t>20 duplicate rows (0.06%)</w:t>
            </w:r>
          </w:p>
        </w:tc>
        <w:tc>
          <w:tcPr>
            <w:tcW w:type="dxa" w:w="3135"/>
          </w:tcPr>
          <w:p>
            <w:r>
              <w:t>drop_duplicates on composite key</w:t>
            </w:r>
          </w:p>
        </w:tc>
        <w:tc>
          <w:tcPr>
            <w:tcW w:type="dxa" w:w="3135"/>
          </w:tcPr>
          <w:p>
            <w:r>
              <w:t>Removed without data loss</w:t>
            </w:r>
          </w:p>
        </w:tc>
      </w:tr>
      <w:tr>
        <w:tc>
          <w:tcPr>
            <w:tcW w:type="dxa" w:w="3135"/>
          </w:tcPr>
          <w:p>
            <w:r>
              <w:t>~3% null values in valor</w:t>
            </w:r>
          </w:p>
        </w:tc>
        <w:tc>
          <w:tcPr>
            <w:tcW w:type="dxa" w:w="3135"/>
          </w:tcPr>
          <w:p>
            <w:r>
              <w:t>Kept as NaN (not imputed)</w:t>
            </w:r>
          </w:p>
        </w:tc>
        <w:tc>
          <w:tcPr>
            <w:tcW w:type="dxa" w:w="3135"/>
          </w:tcPr>
          <w:p>
            <w:r>
              <w:t>Preserves data integrity</w:t>
            </w:r>
          </w:p>
        </w:tc>
      </w:tr>
    </w:tbl>
    <w:p>
      <w:r>
        <w:t>The cleaning pipeline is fully deterministic and reproducible — running main.py regenerates the clean dataset from the raw CSV with identical results.</w:t>
      </w:r>
    </w:p>
    <w:p>
      <w:r/>
    </w:p>
    <w:p>
      <w:pPr>
        <w:pStyle w:val="Heading1"/>
      </w:pPr>
      <w:r>
        <w:t>8. Conclusions</w:t>
      </w:r>
    </w:p>
    <w:p>
      <w:r>
        <w:t>1. Spain's unemployment geography is structural and persistent. The north-south divide in unemployment rates — with Andalucía, Extremadura, and Canarias consistently above 20% while País Vasco, Navarra, and Aragón remain below 10% — has barely changed in 5 years, surviving a period, recovery, and labour reform. This suggests that the drivers (industrial base, education, sectoral mix) are deeply rooted.</w:t>
      </w:r>
    </w:p>
    <w:p>
      <w:r>
        <w:t>2. The gender gap in unemployment is real but narrowing. Female unemployment remains consistently higher than male unemployment, but the gap has shrunk from ~4 percentage points in 2020 to ~2–3 points by 2025. economic initially hit male employment harder (construction, industry), but the male recovery was also faster.</w:t>
      </w:r>
    </w:p>
    <w:p>
      <w:r>
        <w:t>3. Spain's economy is extremely tertiarized, with services accounting for over 75% of total employment. This dominance has remained stable throughout the period and creates both resilience (diversified service economy) and vulnerability (sensitivity to tourism and hospitality shocks, as seen during economic downturns).</w:t>
      </w:r>
    </w:p>
    <w:p>
      <w:r>
        <w:t>4. Employment has fully recovered and reached record highs. Total employment exceeded 21 million by 2025, representing a net gain of approximately 2 million jobs compared to early 2020 levels. The extreme concentration of employment in Madrid and Barcelona — together accounting for roughly a quarter of all jobs — underscores the 'Empty Spain' (España Vacía) demographic challenge facing interior provinces.</w:t>
      </w:r>
    </w:p>
    <w:p>
      <w:r>
        <w:t>5. Data quality matters: even official INE data requires significant cleaning when accessed via API. This project dealt with 5 date formats, packed multi-dimensional series names, inconsistent casing, and the need for structural parsing — demonstrating that real-world data engineering is a non-trivial part of any analysis.</w:t>
      </w:r>
    </w:p>
    <w:p>
      <w:pPr>
        <w:pStyle w:val="Normal"/>
      </w:pPr>
      <w:r>
        <w:rPr/>
        <w:t>6. Age is the strongest predictor of unemployment in Spain. The youngest workers (16–19) face rates exceeding 30%, dropping sharply with age and stabilizing around 8–10% for workers aged 30–54. This extreme age gradient reflects temporary contract prevalence, educational mismatches, and limited entry-level opportunities for young Spaniards.</w:t>
      </w:r>
    </w:p>
    <w:p>
      <w:pPr>
        <w:pStyle w:val="Normal"/>
      </w:pPr>
      <w:r>
        <w:rPr/>
        <w:t>7. Youth unemployment has improved significantly but remains structurally extreme. The 16–19 group dropped from ~59% to ~31% and the 20–24 group from ~36% to ~22% between 2020 and 2025, yet both still far exceed the national average, indicating deep structural barriers to youth employment.</w:t>
      </w:r>
    </w:p>
    <w:p>
      <w:pPr>
        <w:pStyle w:val="Normal"/>
      </w:pPr>
      <w:r>
        <w:rPr/>
        <w:t>8. The nationality gap in unemployment is structural and age-dependent. Foreign workers face higher unemployment rates across all age groups, with the relative gap widening in middle and older ages. This finding, derived by merging two INE tables (activos and ocupados by nationality and age), reveals a dimension of labour market inequality that complements the territorial and gender analyses.</w:t>
      </w:r>
    </w:p>
    <w:p>
      <w:r/>
    </w:p>
    <w:p>
      <w:pPr>
        <w:pStyle w:val="Heading1"/>
      </w:pPr>
      <w:r>
        <w:t>9. Project Structure and Reproducibility</w:t>
      </w:r>
    </w:p>
    <w:p>
      <w:r>
        <w:t>The project follows a modular, reproducible structure:</w:t>
      </w:r>
    </w:p>
    <w:p>
      <w:r>
        <w:t>epa_project/</w:t>
        <w:br/>
        <w:t>├── fetch_data.py              # Data download script</w:t>
        <w:br/>
        <w:t>├── main.py                  # End-to-end pipeline</w:t>
        <w:br/>
        <w:t>├── data/</w:t>
        <w:br/>
        <w:t>│   ├── raw/                 # Original API data (JSON + CSV)</w:t>
        <w:br/>
        <w:t>│   └── processed/           # Cleaned dataset</w:t>
        <w:br/>
        <w:t>├── notebooks/</w:t>
        <w:br/>
        <w:t>│   ├── eda.ipynb            # Interactive analysis</w:t>
        <w:br/>
        <w:t>│   └── eda_executed.ipynb   # Pre-run version</w:t>
        <w:br/>
        <w:t>├── charts/</w:t>
        <w:br/>
        <w:t>│   ├── 01_tasa_paro_por_provincia.png</w:t>
        <w:br/>
        <w:t>│   ├── 02_brecha_genero_paro.png</w:t>
        <w:br/>
        <w:t>│   ├── 03_empleo_por_sector.png</w:t>
        <w:br/>
        <w:t>│   ├── 04_distribucion_ocupados.png</w:t>
        <w:br/>
        <w:t>│   ├── 05_evolucion_empleo_total.png</w:t>
        <w:br/>
        <w:t>│   ├── 06_heatmap_paro_ccaa.png</w:t>
        <w:br/>
        <w:t>│   ├── 07_paro_por_edad.png</w:t>
        <w:br/>
        <w:t>│   ├── 08_paro_juvenil_evolucion.png</w:t>
        <w:br/>
        <w:t>│   └── 09_paro_edad_nacionalidad.png</w:t>
        <w:br/>
        <w:t>├── src/</w:t>
        <w:br/>
        <w:t>│   ├── io.py                # Data loading</w:t>
        <w:br/>
        <w:t>│   ├── cleaning.py          # Cleaning pipeline</w:t>
        <w:br/>
        <w:t>│   ├── features.py          # Feature engineering</w:t>
        <w:br/>
        <w:t>│   ├── viz.py               # Visualization functions</w:t>
        <w:br/>
        <w:t>│   └── utils.py             # Validations</w:t>
        <w:br/>
        <w:t>├── README.md</w:t>
        <w:br/>
        <w:t>└── requirements.txt</w:t>
      </w:r>
    </w:p>
    <w:p>
      <w:r>
        <w:t>To reproduce the analysis for any time period:</w:t>
      </w:r>
    </w:p>
    <w:p>
      <w:pPr>
        <w:pStyle w:val="ListBullet"/>
      </w:pPr>
      <w:r>
        <w:t>Install dependencies: pip install -r requirements.txt</w:t>
      </w:r>
    </w:p>
    <w:p>
      <w:pPr>
        <w:pStyle w:val="ListBullet"/>
      </w:pPr>
      <w:r>
        <w:t>Download data for the desired period: python fetch_data.py --start 2020 --end 2025</w:t>
      </w:r>
    </w:p>
    <w:p>
      <w:pPr>
        <w:pStyle w:val="ListBullet"/>
      </w:pPr>
      <w:r>
        <w:t>Run the cleaning pipeline: python main.py</w:t>
      </w:r>
    </w:p>
    <w:p/>
    <w:p>
      <w:pPr>
        <w:pStyle w:val="ListBullet"/>
      </w:pPr>
      <w:r>
        <w:rPr/>
        <w:t>Tables 65086 + 65112: Active population and employed population by nationality, sex, and age group — merged to compute Chart 9 (unemployment by age and nationality), since no single INE table provides this cross-tabulation.</w:t>
      </w:r>
    </w:p>
    <w:p>
      <w:pPr>
        <w:pStyle w:val="ListBullet"/>
      </w:pPr>
      <w:r>
        <w:rPr/>
        <w:t>Table 65219: Unemployment rates by sex and age group — used for Charts 7 and 8.</w:t>
      </w:r>
    </w:p>
    <w:p>
      <w:pPr>
        <w:pStyle w:val="ListBullet"/>
      </w:pPr>
      <w:r>
        <w:rPr/>
        <w:t>Tables 65345, 65349, 65354: Combined into the main CSV (epa_mercado_laboral_raw.csv) which feeds the cleaning pipeline and produces Charts 1–6.</w:t>
      </w:r>
    </w:p>
    <w:p>
      <w:pPr>
        <w:pStyle w:val="Normal"/>
      </w:pPr>
      <w:r>
        <w:rPr/>
        <w:t>The 6 tables downloaded by fetch_data.py and their roles in the project:</w:t>
      </w:r>
    </w:p>
    <w:p>
      <w:pPr>
        <w:pStyle w:val="Normal"/>
      </w:pPr>
    </w:p>
    <w:p>
      <w:pPr>
        <w:pStyle w:val="Normal"/>
      </w:pPr>
      <w:r>
        <w:t>This design was validated by running the full pipeline with multiple periods: 2006–2015 (65,720 rows), 2024–2026 (13,568 rows), and 2002–2026 (156,456 rows). All periods passed validations identically, and all 9 charts were generated successfully.</w:t>
      </w:r>
    </w:p>
    <w:p>
      <w:pPr>
        <w:pStyle w:val="Normal"/>
      </w:pPr>
    </w:p>
    <w:p>
      <w:pPr>
        <w:pStyle w:val="ListBullet"/>
      </w:pPr>
      <w:r>
        <w:rPr/>
        <w:t>Step 4 — Explore the notebook. Open notebooks/eda.ipynb. All visualizations adapt dynamically to the data range present in the dataset.</w:t>
      </w:r>
    </w:p>
    <w:p>
      <w:pPr>
        <w:pStyle w:val="ListBullet"/>
      </w:pPr>
      <w:r>
        <w:t>Step 3 — Run the pipeline. Run: python main.py. The cleaning code (src/cleaning.py), feature engineering (src/features.py), and chart generation (src/viz.py) are fully period-agnostic — they contain no hardcoded dates or year references. The pipeline processes whatever data is in the dirty CSV and generates all 9 charts automatically in charts/.</w:t>
      </w:r>
    </w:p>
    <w:p>
      <w:pPr>
        <w:pStyle w:val="ListBullet"/>
      </w:pPr>
      <w:r>
        <w:t>Step 2 — Fetch the data. Run: python fetch_data.py --start YYYY --end YYYY. The EPA publishes quarterly data since 2002. If a start year before 2002 is specified, the API will silently return data from 2002 onwards. This downloads 6 INE API tables (3 main tables combined into the CSV, plus 3 additional tables for the age/nationality charts saved as standalone JSON). The script generates both a clean raw CSV and a dirty CSV with intentional quality issues for the cleaning exercise.</w:t>
      </w:r>
    </w:p>
    <w:p>
      <w:pPr>
        <w:pStyle w:val="ListBullet"/>
      </w:pPr>
      <w:r>
        <w:t>Step 1 — Choose the period. The EPA publishes quarterly data since 2002. Important: if a start year before 2002 is specified, the API will ignore it and return data from 2002 onwards — the pipeline will work correctly, but the actual period in the results will start at 2002, not at the requested year. For example, to analyze the 2008 financial crisis: --start 2008 --end 2014. To analyze the earlier period: --start 2015 --end 2020.</w:t>
      </w:r>
    </w:p>
    <w:p>
      <w:pPr>
        <w:pStyle w:val="Normal"/>
      </w:pPr>
      <w:r>
        <w:rPr/>
        <w:t>The explicit steps to reproduce the analysis for a different period are:</w:t>
      </w:r>
    </w:p>
    <w:p>
      <w:pPr>
        <w:pStyle w:val="Normal"/>
      </w:pPr>
      <w:r>
        <w:t>The entire pipeline — from data acquisition through cleaning, feature engineering, and chart generation — is designed to work with any time period available in the EPA dataset (quarterly data from 2002 onwards). No code changes are required to switch periods. The fetch_data.py script connects to the INE public API using the date range parameter (date=YYYYMMDD:YYYYMMDD) to request exactly the quarters falling within the specified start and end years. If a start year before 2002 is specified, the API silently returns data from 2002 onwards; the pipeline processes whatever data is returned without error. Running python main.py --fetch --start YYYY --end YYYY executes the full pipeline (fetch + clean + features + 9 charts) in a single command.</w:t>
      </w:r>
    </w:p>
    <w:p>
      <w:pPr>
        <w:pStyle w:val="Heading2"/>
      </w:pPr>
      <w:r>
        <w:rPr/>
        <w:t>Reproducing the Analysis for a Different Period</w:t>
      </w:r>
    </w:p>
    <w:p>
      <w:pPr>
        <w:pStyle w:val="Normal"/>
      </w:pPr>
    </w:p>
    <w:p>
      <w:pPr>
        <w:pStyle w:val="ListBullet"/>
      </w:pPr>
      <w:r>
        <w:rPr/>
        <w:t>Or combine fetch + clean: python main.py --fetch --start 2020 --end 2025</w:t>
      </w:r>
    </w:p>
    <w:p>
      <w:pPr>
        <w:pStyle w:val="ListBullet"/>
      </w:pPr>
      <w:r>
        <w:rPr/>
        <w:t>Open the interactive notebook: jupyter notebook notebooks/eda.ipynb</w:t>
      </w:r>
    </w:p>
    <w:p>
      <w:pPr>
        <w:pStyle w:val="Heading2"/>
      </w:pPr>
      <w:r>
        <w:t>9.2 Period-Adaptive Notebook Design</w:t>
      </w:r>
    </w:p>
    <w:p>
      <w:r>
        <w:t>The EDA notebook (eda.ipynb) is designed to adapt automatically to whatever period is loaded. It derives the analysis period directly from the data by reading the minimum and maximum year in the dataset (PERIOD_START, PERIOD_END, PERIOD_LABEL). All chart titles include this label dynamically via f-strings, so they always reflect the actual data range. Charts 7-9, which use the additional JSON tables (65219, 65086, 65112), detect the latest available quarter from the JSON data and label charts accordingly. The conclusions section is written in period-agnostic language. No code modification is required when switching between periods — the notebook adapts entirely from the data.</w:t>
      </w:r>
    </w:p>
    <w:p>
      <w:r>
        <w:t>Adaptive components: (1) fetch_data.py: --start/--end CLI parameters define the data range. (2) src/cleaning.py and src/features.py: no hardcoded dates — fully generic parsing and feature engineering. (3) src/viz.py: generates all 9 charts with period-aware titles derived from the data — charts 1-6 use the processed DataFrame, charts 7-9 read the raw JSON files. (4) main.py: orchestrates the full pipeline (fetch + clean + features + charts) in a single command. (5) Notebook charts and conclusions: adapt dynamically to whatever period is loaded.</w:t>
      </w:r>
    </w:p>
    <w:p>
      <w:r>
        <w:t>The notebook orchestrates and documents the analysis, while all reusable logic resides in the src/ package — following the principle that notebooks explain, while modules execute.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