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8.png" ContentType="image/png"/>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dinero-público-resultados"/>
    <w:p>
      <w:pPr>
        <w:pStyle w:val="Heading1"/>
      </w:pPr>
      <w:r>
        <w:t xml:space="preserve">Dinero público → Resultados</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construye un sistema completo de ciencia de datos sobre una pregunta de interés público:</w:t>
      </w:r>
      <w:r>
        <w:t xml:space="preserve"> </w:t>
      </w:r>
      <w:r>
        <w:rPr>
          <w:b/>
          <w:bCs/>
        </w:rPr>
        <w:t xml:space="preserve">¿qué obtiene un país (y una comunidad autónoma) a cambio de su gasto público?</w:t>
      </w:r>
      <w:r>
        <w:t xml:space="preserve"> </w:t>
      </w:r>
      <w:r>
        <w:t xml:space="preserve">El sistema comprende: un pipeline reproducible de extracción por capas sobre más de 30 fuentes públicas (INE, Eurostat, FMI, OMS, Banco Mundial, GMD/JST); un</w:t>
      </w:r>
      <w:r>
        <w:t xml:space="preserve"> </w:t>
      </w:r>
      <w:r>
        <w:rPr>
          <w:b/>
          <w:bCs/>
        </w:rPr>
        <w:t xml:space="preserve">atlas de la evolución del gasto público en los siglos XX–XXI</w:t>
      </w:r>
      <w:r>
        <w:t xml:space="preserve"> </w:t>
      </w:r>
      <w:r>
        <w:t xml:space="preserve">(16 figuras); un</w:t>
      </w:r>
      <w:r>
        <w:t xml:space="preserve"> </w:t>
      </w:r>
      <w:r>
        <w:rPr>
          <w:b/>
          <w:bCs/>
        </w:rPr>
        <w:t xml:space="preserve">modelo de pronóstico de la asequibilidad de la vivienda por CCAA</w:t>
      </w:r>
      <w:r>
        <w:t xml:space="preserve"> </w:t>
      </w:r>
      <w:r>
        <w:t xml:space="preserve">seleccionado mediante un protocolo pre-registrado con test final de un solo uso; un</w:t>
      </w:r>
      <w:r>
        <w:t xml:space="preserve"> </w:t>
      </w:r>
      <w:r>
        <w:rPr>
          <w:b/>
          <w:bCs/>
        </w:rPr>
        <w:t xml:space="preserve">análisis de rendimiento ajustado del gasto sanitario</w:t>
      </w:r>
      <w:r>
        <w:t xml:space="preserve"> </w:t>
      </w:r>
      <w:r>
        <w:t xml:space="preserve">en 164 países con incertidumbre conformal; un</w:t>
      </w:r>
      <w:r>
        <w:t xml:space="preserve"> </w:t>
      </w:r>
      <w:r>
        <w:rPr>
          <w:b/>
          <w:bCs/>
        </w:rPr>
        <w:t xml:space="preserve">simulador de escenarios de deuda</w:t>
      </w:r>
      <w:r>
        <w:t xml:space="preserve"> </w:t>
      </w:r>
      <w:r>
        <w:t xml:space="preserve">2024–2050; y un</w:t>
      </w:r>
      <w:r>
        <w:t xml:space="preserve"> </w:t>
      </w:r>
      <w:r>
        <w:rPr>
          <w:b/>
          <w:bCs/>
        </w:rPr>
        <w:t xml:space="preserve">producto funcional</w:t>
      </w:r>
      <w:r>
        <w:t xml:space="preserve"> </w:t>
      </w:r>
      <w:r>
        <w:t xml:space="preserve">(API + dashboard) que sirve todos los resultados con su incertidumbre siempre visible.</w:t>
      </w:r>
    </w:p>
    <w:p>
      <w:pPr>
        <w:pStyle w:val="BodyText"/>
      </w:pPr>
      <w:r>
        <w:t xml:space="preserve">El resultado metodológico central no es un modelo, sino una disciplina: todos los criterios de aceptación se fijaron ANTES de comparar modelos, y en las tres ocasiones en que un modelo flexible (SARIMAX, LightGBM) compitió contra una alternativa simple bajo esas reglas,</w:t>
      </w:r>
      <w:r>
        <w:t xml:space="preserve"> </w:t>
      </w:r>
      <w:r>
        <w:rPr>
          <w:b/>
          <w:bCs/>
        </w:rPr>
        <w:t xml:space="preserve">perdió</w:t>
      </w:r>
      <w:r>
        <w:t xml:space="preserve"> </w:t>
      </w:r>
      <w:r>
        <w:t xml:space="preserve">— incluido un caso en el que el test final refutó una hipótesis prometedora en validación y evitó publicar una predicción de desplome del precio de la vivienda en pleno boom. Los resultados negativos se publican como tales.</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(32 datasets).</w:t>
      </w:r>
    </w:p>
    <w:p>
      <w:pPr>
        <w:pStyle w:val="Compact"/>
        <w:numPr>
          <w:ilvl w:val="0"/>
          <w:numId w:val="1001"/>
        </w:numPr>
      </w:pPr>
      <w:r>
        <w:rPr>
          <w:b/>
          <w:bCs/>
        </w:rPr>
        <w:t xml:space="preserve">gold</w:t>
      </w:r>
      <w:r>
        <w:t xml:space="preserve">: 9 datasets finales de consumo, con clave primaria verificada y tests automáticos (</w:t>
      </w:r>
      <w:r>
        <w:rPr>
          <w:rStyle w:val="VerbatimChar"/>
        </w:rPr>
        <w:t xml:space="preserve">tests/</w:t>
      </w:r>
      <w:r>
        <w:t xml:space="preserve">, 42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0"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End w:id="20"/>
    <w:bookmarkStart w:id="41" w:name="resultados"/>
    <w:p>
      <w:pPr>
        <w:pStyle w:val="Heading2"/>
      </w:pPr>
      <w:r>
        <w:t xml:space="preserve">4. Resultados</w:t>
      </w:r>
    </w:p>
    <w:bookmarkStart w:id="27"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2" name="Picture"/>
            <a:graphic>
              <a:graphicData uri="http://schemas.openxmlformats.org/drawingml/2006/picture">
                <pic:pic>
                  <pic:nvPicPr>
                    <pic:cNvPr descr="figures/backtest/b3_test_final.png" id="23" name="Picture"/>
                    <pic:cNvPicPr>
                      <a:picLocks noChangeArrowheads="1" noChangeAspect="1"/>
                    </pic:cNvPicPr>
                  </pic:nvPicPr>
                  <pic:blipFill>
                    <a:blip r:embed="rId21"/>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5" name="Picture"/>
            <a:graphic>
              <a:graphicData uri="http://schemas.openxmlformats.org/drawingml/2006/picture">
                <pic:pic>
                  <pic:nvPicPr>
                    <pic:cNvPr descr="figures/backtest/b4_fan_nacional.png" id="26" name="Picture"/>
                    <pic:cNvPicPr>
                      <a:picLocks noChangeArrowheads="1" noChangeAspect="1"/>
                    </pic:cNvPicPr>
                  </pic:nvPicPr>
                  <pic:blipFill>
                    <a:blip r:embed="rId24"/>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7"/>
    <w:bookmarkStart w:id="31" w:name="atlas-b1b16-el-siglo-del-gasto-público"/>
    <w:p>
      <w:pPr>
        <w:pStyle w:val="Heading3"/>
      </w:pPr>
      <w:r>
        <w:t xml:space="preserve">4.2 Atlas B1–B16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29" name="Picture"/>
            <a:graphic>
              <a:graphicData uri="http://schemas.openxmlformats.org/drawingml/2006/picture">
                <pic:pic>
                  <pic:nvPicPr>
                    <pic:cNvPr descr="figures/atlas/b03_vivienda_publica_vs_total.png" id="30" name="Picture"/>
                    <pic:cNvPicPr>
                      <a:picLocks noChangeArrowheads="1" noChangeAspect="1"/>
                    </pic:cNvPicPr>
                  </pic:nvPicPr>
                  <pic:blipFill>
                    <a:blip r:embed="rId28"/>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1"/>
    <w:bookmarkStart w:id="35"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3" name="Picture"/>
            <a:graphic>
              <a:graphicData uri="http://schemas.openxmlformats.org/drawingml/2006/picture">
                <pic:pic>
                  <pic:nvPicPr>
                    <pic:cNvPr descr="figures/a1/a1_funnel.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5"/>
    <w:bookmarkStart w:id="39"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37" name="Picture"/>
            <a:graphic>
              <a:graphicData uri="http://schemas.openxmlformats.org/drawingml/2006/picture">
                <pic:pic>
                  <pic:nvPicPr>
                    <pic:cNvPr descr="figures/d1/d1_deuda_escenarios.png" id="38" name="Picture"/>
                    <pic:cNvPicPr>
                      <a:picLocks noChangeArrowheads="1" noChangeAspect="1"/>
                    </pic:cNvPicPr>
                  </pic:nvPicPr>
                  <pic:blipFill>
                    <a:blip r:embed="rId36"/>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39"/>
    <w:bookmarkStart w:id="40" w:name="el-producto-mvp"/>
    <w:p>
      <w:pPr>
        <w:pStyle w:val="Heading3"/>
      </w:pPr>
      <w:r>
        <w:t xml:space="preserve">4.5 El producto (MVP)</w:t>
      </w:r>
    </w:p>
    <w:p>
      <w:pPr>
        <w:pStyle w:val="FirstParagraph"/>
      </w:pPr>
      <w:r>
        <w:t xml:space="preserve">API FastAPI que sirve todos los artefactos gold (pronóstico con abanico, funnel, menú de escenarios, simulador interactivo con palancas, proyecciones demográficas) y dashboard Streamlit de cuatro pestañas. Las advertencias de método viajan dentro de las respuestas de la API y de cada pestaña: la honestidad es parte del producto, no de la letra pequeña.</w:t>
      </w:r>
    </w:p>
    <w:bookmarkEnd w:id="40"/>
    <w:bookmarkEnd w:id="41"/>
    <w:bookmarkStart w:id="42" w:name="limitaciones"/>
    <w:p>
      <w:pPr>
        <w:pStyle w:val="Heading2"/>
      </w:pPr>
      <w:r>
        <w:t xml:space="preserve">5. Limitaciones</w:t>
      </w:r>
    </w:p>
    <w:p>
      <w:pPr>
        <w:pStyle w:val="Compact"/>
        <w:numPr>
          <w:ilvl w:val="0"/>
          <w:numId w:val="1004"/>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4"/>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4"/>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4"/>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4"/>
        </w:numPr>
      </w:pPr>
      <w:r>
        <w:rPr>
          <w:b/>
          <w:bCs/>
        </w:rPr>
        <w:t xml:space="preserve">El simulador es determinista y sin retroalimentaciones</w:t>
      </w:r>
      <w:r>
        <w:t xml:space="preserve">: mapa de sensibilidades, no pronóstico.</w:t>
      </w:r>
    </w:p>
    <w:p>
      <w:pPr>
        <w:pStyle w:val="Compact"/>
        <w:numPr>
          <w:ilvl w:val="0"/>
          <w:numId w:val="1004"/>
        </w:numPr>
      </w:pPr>
      <w:r>
        <w:rPr>
          <w:b/>
          <w:bCs/>
        </w:rPr>
        <w:t xml:space="preserve">Falacia ecológica</w:t>
      </w:r>
      <w:r>
        <w:t xml:space="preserve">: nada de lo dicho a nivel país habla de centros, sistemas o personas concretas.</w:t>
      </w:r>
    </w:p>
    <w:bookmarkEnd w:id="42"/>
    <w:bookmarkStart w:id="43" w:name="conclusiones"/>
    <w:p>
      <w:pPr>
        <w:pStyle w:val="Heading2"/>
      </w:pPr>
      <w:r>
        <w:t xml:space="preserve">6. Conclusiones</w:t>
      </w:r>
    </w:p>
    <w:p>
      <w:pPr>
        <w:pStyle w:val="Compact"/>
        <w:numPr>
          <w:ilvl w:val="0"/>
          <w:numId w:val="1005"/>
        </w:numPr>
      </w:pPr>
      <w:r>
        <w:t xml:space="preserve">Es posible construir, solo con fuentes públicas y código abierto, un sistema completo — datos → modelos → producto — sobre una pregunta de interés público, con estándares de trazabilidad de nivel profesional (vintage, tests de contrato, resultados negativos publicados).</w:t>
      </w:r>
    </w:p>
    <w:p>
      <w:pPr>
        <w:pStyle w:val="Compact"/>
        <w:numPr>
          <w:ilvl w:val="0"/>
          <w:numId w:val="1005"/>
        </w:numPr>
      </w:pPr>
      <w:r>
        <w:rPr>
          <w:b/>
          <w:bCs/>
        </w:rPr>
        <w:t xml:space="preserve">La aportación diferencial es la disciplina</w:t>
      </w:r>
      <w:r>
        <w:t xml:space="preserve">: pre-registro, test único, y la voluntad de dejar que las reglas maten a los modelos atractivos. Tres veces ganó lo simple; una vez el protocolo evitó una predicción de desplome en pleno boom. En un TFM, donde la tentación es exhibir el modelo más complejo, este trabajo defiende lo contrario con evidencia propia.</w:t>
      </w:r>
    </w:p>
    <w:p>
      <w:pPr>
        <w:pStyle w:val="Compact"/>
        <w:numPr>
          <w:ilvl w:val="0"/>
          <w:numId w:val="1005"/>
        </w:numPr>
      </w:pPr>
      <w:r>
        <w:t xml:space="preserve">Sustantivamente: la asequibilidad española no se corrige sola (ni con salarios al 4 %); la palanca pública de vivienda es un orden de magnitud menor que la promoción privada; la renta domina el rendimiento sanitario entre países; y la demografía domina la senda de deuda por encima de cualquier palanca fiscal individual.</w:t>
      </w:r>
    </w:p>
    <w:bookmarkEnd w:id="43"/>
    <w:bookmarkStart w:id="44"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w:t>
      </w:r>
    </w:p>
    <w:bookmarkEnd w:id="44"/>
    <w:bookmarkStart w:id="45"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6"/>
        </w:numPr>
      </w:pPr>
      <w:r>
        <w:t xml:space="preserve">Banco de España.</w:t>
      </w:r>
      <w:r>
        <w:t xml:space="preserve"> </w:t>
      </w:r>
      <w:r>
        <w:rPr>
          <w:i/>
          <w:iCs/>
        </w:rPr>
        <w:t xml:space="preserve">Tipos de interés: Euríbor a 12 meses</w:t>
      </w:r>
      <w:r>
        <w:t xml:space="preserve">. https://www.bde.es</w:t>
      </w:r>
    </w:p>
    <w:p>
      <w:pPr>
        <w:pStyle w:val="Compact"/>
        <w:numPr>
          <w:ilvl w:val="0"/>
          <w:numId w:val="1006"/>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6"/>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6"/>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6"/>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6"/>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6"/>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6"/>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6"/>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6"/>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7"/>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7"/>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7"/>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7"/>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7"/>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7"/>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7"/>
        </w:numPr>
      </w:pPr>
      <w:r>
        <w:t xml:space="preserve">Tanzi, V. y Schuknecht, L. (2000).</w:t>
      </w:r>
      <w:r>
        <w:t xml:space="preserve"> </w:t>
      </w:r>
      <w:r>
        <w:rPr>
          <w:i/>
          <w:iCs/>
        </w:rPr>
        <w:t xml:space="preserve">Public Spending in the 20th Century: A Global Perspective</w:t>
      </w:r>
      <w:r>
        <w:t xml:space="preserve">. Cambridge University Press.</w:t>
      </w:r>
    </w:p>
    <w:bookmarkEnd w:id="45"/>
    <w:bookmarkStart w:id="46" w:name="anexo-guía-de-reproducción"/>
    <w:p>
      <w:pPr>
        <w:pStyle w:val="Heading2"/>
      </w:pPr>
      <w:r>
        <w:t xml:space="preserve">Anexo — Guía de reproducción</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16 figuras del atlas</w:t>
      </w:r>
      <w:r>
        <w:br/>
      </w:r>
      <w:r>
        <w:rPr>
          <w:rStyle w:val="VerbatimChar"/>
        </w:rPr>
        <w:t xml:space="preserve">python3 analysis/rendimiento_a1.py  # A1: funnel 164 países</w:t>
      </w:r>
      <w:r>
        <w:br/>
      </w:r>
      <w:r>
        <w:rPr>
          <w:rStyle w:val="VerbatimChar"/>
        </w:rPr>
        <w:t xml:space="preserve">python3 analysis/escenarios_d1.py   # D1: menú de deuda</w:t>
      </w:r>
      <w:r>
        <w:br/>
      </w:r>
      <w:r>
        <w:rPr>
          <w:rStyle w:val="VerbatimChar"/>
        </w:rPr>
        <w:t xml:space="preserve">python3 -m pytest tests/ -q         # 42 tests del contrato de datos y modelos</w:t>
      </w:r>
      <w:r>
        <w:br/>
      </w:r>
      <w:r>
        <w:rPr>
          <w:rStyle w:val="VerbatimChar"/>
        </w:rPr>
        <w:t xml:space="preserve">streamlit run app/dashboard.py      # dashboard MVP</w:t>
      </w:r>
    </w:p>
    <w:p>
      <w:pPr>
        <w:pStyle w:val="FirstParagraph"/>
      </w:pPr>
      <w:r>
        <w:t xml:space="preserve">Documentos de detalle:</w:t>
      </w:r>
      <w:r>
        <w:t xml:space="preserve"> </w:t>
      </w:r>
      <w:r>
        <w:rPr>
          <w:rStyle w:val="VerbatimChar"/>
        </w:rPr>
        <w:t xml:space="preserve">docs/eda_vivienda.md</w:t>
      </w:r>
      <w:r>
        <w:t xml:space="preserve">,</w:t>
      </w:r>
      <w:r>
        <w:t xml:space="preserve"> </w:t>
      </w:r>
      <w:r>
        <w:rPr>
          <w:rStyle w:val="VerbatimChar"/>
        </w:rPr>
        <w:t xml:space="preserve">docs/backtest_t1_baselines.md</w:t>
      </w:r>
      <w:r>
        <w:t xml:space="preserve">,</w:t>
      </w:r>
      <w:r>
        <w:t xml:space="preserve"> </w:t>
      </w:r>
      <w:r>
        <w:rPr>
          <w:rStyle w:val="VerbatimChar"/>
        </w:rPr>
        <w:t xml:space="preserve">docs/candidatos_t1.md</w:t>
      </w:r>
      <w:r>
        <w:t xml:space="preserve">,</w:t>
      </w:r>
      <w:r>
        <w:t xml:space="preserve"> </w:t>
      </w:r>
      <w:r>
        <w:rPr>
          <w:rStyle w:val="VerbatimChar"/>
        </w:rPr>
        <w:t xml:space="preserve">docs/test_final_t1.md</w:t>
      </w:r>
      <w:r>
        <w:t xml:space="preserve">,</w:t>
      </w:r>
      <w:r>
        <w:t xml:space="preserve"> </w:t>
      </w:r>
      <w:r>
        <w:rPr>
          <w:rStyle w:val="VerbatimChar"/>
        </w:rPr>
        <w:t xml:space="preserve">docs/forecast_t1_mvp.md</w:t>
      </w:r>
      <w:r>
        <w:t xml:space="preserve">,</w:t>
      </w:r>
      <w:r>
        <w:t xml:space="preserve"> </w:t>
      </w:r>
      <w:r>
        <w:rPr>
          <w:rStyle w:val="VerbatimChar"/>
        </w:rPr>
        <w:t xml:space="preserve">docs/atlas.md</w:t>
      </w:r>
      <w:r>
        <w:t xml:space="preserve">,</w:t>
      </w:r>
      <w:r>
        <w:t xml:space="preserve"> </w:t>
      </w:r>
      <w:r>
        <w:rPr>
          <w:rStyle w:val="VerbatimChar"/>
        </w:rPr>
        <w:t xml:space="preserve">docs/rendimiento_a1.md</w:t>
      </w:r>
      <w:r>
        <w:t xml:space="preserve">,</w:t>
      </w:r>
      <w:r>
        <w:t xml:space="preserve"> </w:t>
      </w:r>
      <w:r>
        <w:rPr>
          <w:rStyle w:val="VerbatimChar"/>
        </w:rPr>
        <w:t xml:space="preserve">docs/escenarios_d1.md</w:t>
      </w:r>
      <w:r>
        <w:t xml:space="preserve">,</w:t>
      </w:r>
      <w:r>
        <w:t xml:space="preserve"> </w:t>
      </w:r>
      <w:r>
        <w:rPr>
          <w:rStyle w:val="VerbatimChar"/>
        </w:rPr>
        <w:t xml:space="preserve">docs/oferta_nueva.md</w:t>
      </w:r>
      <w:r>
        <w:t xml:space="preserve">,</w:t>
      </w:r>
      <w:r>
        <w:t xml:space="preserve"> </w:t>
      </w:r>
      <w:r>
        <w:rPr>
          <w:rStyle w:val="VerbatimChar"/>
        </w:rPr>
        <w:t xml:space="preserve">docs/PLAN_MAESTRO.md</w:t>
      </w:r>
      <w:r>
        <w:t xml:space="preserve">.</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2026-07-19T08:10:48Z</dcterms:created>
  <dcterms:modified xsi:type="dcterms:W3CDTF">2026-07-19T08:10:48Z</dcterms:modified>
</cp:coreProperties>
</file>

<file path=docProps/custom.xml><?xml version="1.0" encoding="utf-8"?>
<Properties xmlns="http://schemas.openxmlformats.org/officeDocument/2006/custom-properties" xmlns:vt="http://schemas.openxmlformats.org/officeDocument/2006/docPropsVTypes"/>
</file>