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22.png" ContentType="image/png"/>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el-precio-de-lo-público"/>
    <w:p>
      <w:pPr>
        <w:pStyle w:val="Heading1"/>
      </w:pPr>
      <w:r>
        <w:t xml:space="preserve">El precio de lo público</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responde, solo con datos públicos, a una pregunta de interés general:</w:t>
      </w:r>
      <w:r>
        <w:t xml:space="preserve"> </w:t>
      </w:r>
      <w:r>
        <w:rPr>
          <w:b/>
          <w:bCs/>
        </w:rPr>
        <w:t xml:space="preserve">¿qué obtiene un país —y cada comunidad autónoma— a cambio del dinero público que gasta y recauda?</w:t>
      </w:r>
      <w:r>
        <w:t xml:space="preserve"> </w:t>
      </w:r>
      <w:r>
        <w:t xml:space="preserve">El resultado es un sistema que cualquiera puede usar: un panel interactivo, publicado en internet, donde se pueden plantear preguntas del tipo «¿y si los salarios suben un 2 %?» o «¿y si se recortan a la mitad las ayudas sociales?» y obtener una estimación con su margen de error. Por debajo reúne más de 40 fuentes oficiales (entre otras el INE, Eurostat, el Fondo Monetario Internacional, la OMS y el Banco Mundial), reconstruye la evolución del gasto y los ingresos públicos de España desde 1703 hasta hoy, y mide qué resultados sociales —esperanza de vida, pobreza, pobreza infantil, aprendizaje— compra realmente ese dinero en cerca de 200 países.</w:t>
      </w:r>
    </w:p>
    <w:p>
      <w:pPr>
        <w:pStyle w:val="BodyText"/>
      </w:pPr>
      <w:r>
        <w:t xml:space="preserve">Los hallazgos son concretos y a menudo contraintuitivos: la vivienda no se vuelve asequible sola, ni siquiera con los salarios creciendo al 4 %; el dinero público que España dedica a construir vivienda es una fracción mínima de lo que invierte el sector privado; entre países, lo que más explica la salud y la caída de la pobreza es la renta, más que el gasto público; y la trayectoria de la deuda depende sobre todo del envejecimiento de la población, por encima de cualquier decisión fiscal concreta. El sistema también localiza señales que se adelantan a los cambios —por ejemplo, la aceleración del crecimiento de la población anticipa las subidas del precio de la vivienda unos dos años y medio.</w:t>
      </w:r>
    </w:p>
    <w:p>
      <w:pPr>
        <w:pStyle w:val="BodyText"/>
      </w:pPr>
      <w:r>
        <w:t xml:space="preserve">La aportación central no es un único modelo «ganador», sino un método fiable para saber</w:t>
      </w:r>
      <w:r>
        <w:t xml:space="preserve"> </w:t>
      </w:r>
      <w:r>
        <w:rPr>
          <w:b/>
          <w:bCs/>
        </w:rPr>
        <w:t xml:space="preserve">cuándo una predicción es de fiar y cuándo sería un espejismo</w:t>
      </w:r>
      <w:r>
        <w:t xml:space="preserve">. Las reglas del juego se fijaron antes de mirar los resultados y luego se dejó que descartaran los modelos más vistosos: cinco modelos sofisticados —incluida una red neuronal entrenada con 1.760 series de precios de otros países— compitieron contra el método más simple posible (suponer que las cosas siguen su tendencia reciente) y ninguno lo superó de forma fiable; en una ocasión ese rigor evitó publicar una predicción de desplome de precios justo cuando el mercado estaba en pleno auge. Por eso el modelo que se entrega es sencillo: no por falta de alternativas, sino porque ganó una competición justa. Esa honestidad —decir con la misma claridad lo que se sabe y lo que no— es lo que separa a este sistema de una respuesta improvisada de una inteligencia artificial, y se demuestra con un experimento propio: sin los datos y los cálculos del sistema, un modelo de lenguaje solo acierta 3 de 12 preguntas; con ellos, 11 de 12.</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(67 datasets).</w:t>
      </w:r>
    </w:p>
    <w:p>
      <w:pPr>
        <w:pStyle w:val="Compact"/>
        <w:numPr>
          <w:ilvl w:val="0"/>
          <w:numId w:val="1001"/>
        </w:numPr>
      </w:pPr>
      <w:r>
        <w:rPr>
          <w:b/>
          <w:bCs/>
        </w:rPr>
        <w:t xml:space="preserve">gold</w:t>
      </w:r>
      <w:r>
        <w:t xml:space="preserve">: 23 datasets finales de consumo, con clave primaria verificada y tests automáticos (</w:t>
      </w:r>
      <w:r>
        <w:rPr>
          <w:rStyle w:val="VerbatimChar"/>
        </w:rPr>
        <w:t xml:space="preserve">tests/</w:t>
      </w:r>
      <w:r>
        <w:t xml:space="preserve">, 95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1"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Start w:id="20" w:name="X5c0b3c22ee2b5566c4529d03bd109b10b6c0bd7"/>
    <w:p>
      <w:pPr>
        <w:pStyle w:val="Heading3"/>
      </w:pPr>
      <w:r>
        <w:t xml:space="preserve">3.1 Cómo se predicen los resultados: directa, encadenada y condicional</w:t>
      </w:r>
    </w:p>
    <w:p>
      <w:pPr>
        <w:pStyle w:val="FirstParagraph"/>
      </w:pPr>
      <w:r>
        <w:t xml:space="preserve">Tres arquitecturas conviven y la elección está gobernada por una regla única (detalle en</w:t>
      </w:r>
      <w:r>
        <w:t xml:space="preserve"> </w:t>
      </w:r>
      <w:r>
        <w:rPr>
          <w:rStyle w:val="VerbatimChar"/>
        </w:rPr>
        <w:t xml:space="preserve">docs/METODOLOGIA.md</w:t>
      </w:r>
      <w:r>
        <w:t xml:space="preserve">): la predicción</w:t>
      </w:r>
      <w:r>
        <w:t xml:space="preserve"> </w:t>
      </w:r>
      <w:r>
        <w:rPr>
          <w:b/>
          <w:bCs/>
        </w:rPr>
        <w:t xml:space="preserve">directa</w:t>
      </w:r>
      <w:r>
        <w:t xml:space="preserve"> </w:t>
      </w:r>
      <w:r>
        <w:t xml:space="preserve">(el objetivo desde su propio pasado, con drivers solo retardados — T1 y todos sus candidatos); la</w:t>
      </w:r>
      <w:r>
        <w:t xml:space="preserve"> </w:t>
      </w:r>
      <w:r>
        <w:rPr>
          <w:b/>
          <w:bCs/>
        </w:rPr>
        <w:t xml:space="preserve">encadenada</w:t>
      </w:r>
      <w:r>
        <w:t xml:space="preserve"> </w:t>
      </w:r>
      <w:r>
        <w:t xml:space="preserve">o two-stage (predecir primero los drivers y convertirlos en objetivo con una regresión — D1: proyecciones demográficas × elasticidades entrenadas → presión de gasto → senda de deuda); y la</w:t>
      </w:r>
      <w:r>
        <w:t xml:space="preserve"> </w:t>
      </w:r>
      <w:r>
        <w:rPr>
          <w:b/>
          <w:bCs/>
        </w:rPr>
        <w:t xml:space="preserve">condicional</w:t>
      </w:r>
      <w:r>
        <w:t xml:space="preserve"> </w:t>
      </w:r>
      <w:r>
        <w:t xml:space="preserve">(la misma regresión con el driver fijado por el usuario — abanico salarial, palancas de deuda,</w:t>
      </w:r>
      <w:r>
        <w:t xml:space="preserve"> </w:t>
      </w:r>
      <w:r>
        <w:rPr>
          <w:rStyle w:val="VerbatimChar"/>
        </w:rPr>
        <w:t xml:space="preserve">POST /scenario</w:t>
      </w:r>
      <w:r>
        <w:t xml:space="preserve">). Encadenar solo compensa cuando el driver es mucho más fácil de predecir que el objetivo: la demografía lo cumple (los mayores de 2050 ya han nacido), los drivers de vivienda no — y el caso límite está medido: ni con los valores verdaderos de los drivers (retardados) ningún candidato batió al drift, luego una cadena con drivers previstos sería estrictamente peor. Cuando la regresión vale pero el driver es imprevisible, se degrada honestamente a máquina condicional en lugar de fingir un pronóstico.</w:t>
      </w:r>
    </w:p>
    <w:bookmarkEnd w:id="20"/>
    <w:bookmarkEnd w:id="21"/>
    <w:bookmarkStart w:id="52" w:name="resultados"/>
    <w:p>
      <w:pPr>
        <w:pStyle w:val="Heading2"/>
      </w:pPr>
      <w:r>
        <w:t xml:space="preserve">4. Resultados</w:t>
      </w:r>
    </w:p>
    <w:bookmarkStart w:id="28"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3" name="Picture"/>
            <a:graphic>
              <a:graphicData uri="http://schemas.openxmlformats.org/drawingml/2006/picture">
                <pic:pic>
                  <pic:nvPicPr>
                    <pic:cNvPr descr="figures/backtest/b3_test_final.png" id="24" name="Picture"/>
                    <pic:cNvPicPr>
                      <a:picLocks noChangeArrowheads="1" noChangeAspect="1"/>
                    </pic:cNvPicPr>
                  </pic:nvPicPr>
                  <pic:blipFill>
                    <a:blip r:embed="rId22"/>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6" name="Picture"/>
            <a:graphic>
              <a:graphicData uri="http://schemas.openxmlformats.org/drawingml/2006/picture">
                <pic:pic>
                  <pic:nvPicPr>
                    <pic:cNvPr descr="figures/backtest/b4_fan_nacional.png" id="27" name="Picture"/>
                    <pic:cNvPicPr>
                      <a:picLocks noChangeArrowheads="1" noChangeAspect="1"/>
                    </pic:cNvPicPr>
                  </pic:nvPicPr>
                  <pic:blipFill>
                    <a:blip r:embed="rId25"/>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8"/>
    <w:bookmarkStart w:id="32" w:name="atlas-b1b19-el-siglo-del-gasto-público"/>
    <w:p>
      <w:pPr>
        <w:pStyle w:val="Heading3"/>
      </w:pPr>
      <w:r>
        <w:t xml:space="preserve">4.2 Atlas B1–B19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30" name="Picture"/>
            <a:graphic>
              <a:graphicData uri="http://schemas.openxmlformats.org/drawingml/2006/picture">
                <pic:pic>
                  <pic:nvPicPr>
                    <pic:cNvPr descr="figures/atlas/b03_vivienda_publica_vs_total.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2"/>
    <w:bookmarkStart w:id="36"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4" name="Picture"/>
            <a:graphic>
              <a:graphicData uri="http://schemas.openxmlformats.org/drawingml/2006/picture">
                <pic:pic>
                  <pic:nvPicPr>
                    <pic:cNvPr descr="figures/a1/a1_funnel.png" id="35" name="Picture"/>
                    <pic:cNvPicPr>
                      <a:picLocks noChangeArrowheads="1" noChangeAspect="1"/>
                    </pic:cNvPicPr>
                  </pic:nvPicPr>
                  <pic:blipFill>
                    <a:blip r:embed="rId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6"/>
    <w:bookmarkStart w:id="37" w:name="X92e70db459f51d92f99d601b202d085f075b998"/>
    <w:p>
      <w:pPr>
        <w:pStyle w:val="Heading3"/>
      </w:pPr>
      <w:r>
        <w:t xml:space="preserve">4.3-bis A2 — Tipologías de composición del gasto</w:t>
      </w:r>
    </w:p>
    <w:p>
      <w:pPr>
        <w:pStyle w:val="FirstParagraph"/>
      </w:pPr>
      <w:r>
        <w:t xml:space="preserve">PCA + KMeans sobre las 10 funciones COFOG (% del gasto total, medias 2019–23, 30 países). El hallazgo honesto:</w:t>
      </w:r>
      <w:r>
        <w:t xml:space="preserve"> </w:t>
      </w:r>
      <w:r>
        <w:rPr>
          <w:b/>
          <w:bCs/>
        </w:rPr>
        <w:t xml:space="preserve">las tipologías son débiles</w:t>
      </w:r>
      <w:r>
        <w:t xml:space="preserve"> </w:t>
      </w:r>
      <w:r>
        <w:t xml:space="preserve">(mejor silueta 0,20, k=2) — la composición europea es un continuo con dos polos suaves:</w:t>
      </w:r>
      <w:r>
        <w:t xml:space="preserve"> </w:t>
      </w:r>
      <w:r>
        <w:t xml:space="preserve">“inversión y Estado clásico”</w:t>
      </w:r>
      <w:r>
        <w:t xml:space="preserve"> </w:t>
      </w:r>
      <w:r>
        <w:t xml:space="preserve">(miembros de 2004+, asuntos económicos sobre-representados) y</w:t>
      </w:r>
      <w:r>
        <w:t xml:space="preserve"> </w:t>
      </w:r>
      <w:r>
        <w:t xml:space="preserve">“Estado del bienestar maduro”</w:t>
      </w:r>
      <w:r>
        <w:t xml:space="preserve"> </w:t>
      </w:r>
      <w:r>
        <w:t xml:space="preserve">(protección social +3,2 pp; España aquí, con el 40,9 % del gasto en protección social). El eje principal se lee casi como renta + antigüedad en la UE — coherente con A1.</w:t>
      </w:r>
    </w:p>
    <w:bookmarkEnd w:id="37"/>
    <w:bookmarkStart w:id="38" w:name="X5f8505af31b2115ac4a36bee490082d95f0eb86"/>
    <w:p>
      <w:pPr>
        <w:pStyle w:val="Heading3"/>
      </w:pPr>
      <w:r>
        <w:t xml:space="preserve">4.3-ter Expansión del corpus: educación, SPI y cuota teórica</w:t>
      </w:r>
    </w:p>
    <w:p>
      <w:pPr>
        <w:pStyle w:val="FirstParagraph"/>
      </w:pPr>
      <w:r>
        <w:t xml:space="preserve">Tras la Entrega 4 se implementaron los conectores pendientes alcanzables (valor tasado MITMA €/m², SPI, gasto militar, gasto educativo, HLO, AOD donante — ver</w:t>
      </w:r>
      <w:r>
        <w:t xml:space="preserve"> </w:t>
      </w:r>
      <w:r>
        <w:rPr>
          <w:rStyle w:val="VerbatimChar"/>
        </w:rPr>
        <w:t xml:space="preserve">docs/DATOS.md</w:t>
      </w:r>
      <w:r>
        <w:t xml:space="preserve">) y con ellos tres piezas nuevas. (1)</w:t>
      </w:r>
      <w:r>
        <w:t xml:space="preserve"> </w:t>
      </w:r>
      <w:r>
        <w:rPr>
          <w:b/>
          <w:bCs/>
        </w:rPr>
        <w:t xml:space="preserve">Cuota hipotecaria teórica por CCAA</w:t>
      </w:r>
      <w:r>
        <w:t xml:space="preserve"> </w:t>
      </w:r>
      <w:r>
        <w:t xml:space="preserve">(compromiso con el tutor): con hipoteca tipo de 90 m², LTV 80 %, 25 años y Euríbor 2024 +1 pp, el esfuerzo nacional es el</w:t>
      </w:r>
      <w:r>
        <w:t xml:space="preserve"> </w:t>
      </w:r>
      <w:r>
        <w:rPr>
          <w:b/>
          <w:bCs/>
        </w:rPr>
        <w:t xml:space="preserve">41,6 % del salario bruto</w:t>
      </w:r>
      <w:r>
        <w:t xml:space="preserve"> </w:t>
      </w:r>
      <w:r>
        <w:t xml:space="preserve">(Baleares 60,6 %, Madrid 56,0 %); ordena las CCAA casi igual que el ratio índice del panel (Spearman 0,79), validando el proxy y añadiendo la medida en euros. (2)</w:t>
      </w:r>
      <w:r>
        <w:t xml:space="preserve"> </w:t>
      </w:r>
      <w:r>
        <w:rPr>
          <w:b/>
          <w:bCs/>
        </w:rPr>
        <w:t xml:space="preserve">A1-educación</w:t>
      </w:r>
      <w:r>
        <w:t xml:space="preserve"> </w:t>
      </w:r>
      <w:r>
        <w:t xml:space="preserve">(157 países): HLO ~ gasto educativo retardado + renta + urbanización bajo LOOCV; el OLS vuelve a ganar (MAE 32,7 puntos; GBM 31,2 y MLP 33,4 no cumplen la regla del −10 %), España queda dentro de banda (+37 ± 78) y los extremos son Vietnam (+111) y Kuwait (−100). (3)</w:t>
      </w:r>
      <w:r>
        <w:t xml:space="preserve"> </w:t>
      </w:r>
      <w:r>
        <w:rPr>
          <w:b/>
          <w:bCs/>
        </w:rPr>
        <w:t xml:space="preserve">Auditoría SPI declarada en el PLAN</w:t>
      </w:r>
      <w:r>
        <w:t xml:space="preserve">: Spearman(residual A1-salud, SPI) =</w:t>
      </w:r>
      <w:r>
        <w:t xml:space="preserve"> </w:t>
      </w:r>
      <w:r>
        <w:rPr>
          <w:b/>
          <w:bCs/>
        </w:rPr>
        <w:t xml:space="preserve">+0,08</w:t>
      </w:r>
      <w:r>
        <w:t xml:space="preserve"> </w:t>
      </w:r>
      <w:r>
        <w:t xml:space="preserve">sobre 163 países — el</w:t>
      </w:r>
      <w:r>
        <w:t xml:space="preserve"> </w:t>
      </w:r>
      <w:r>
        <w:t xml:space="preserve">“rendimiento”</w:t>
      </w:r>
      <w:r>
        <w:t xml:space="preserve"> </w:t>
      </w:r>
      <w:r>
        <w:t xml:space="preserve">estimado no es un artefacto de capacidad estadística; añadir SPI como control tampoco mueve el MAE (2,76→2,75). El contraste</w:t>
      </w:r>
      <w:r>
        <w:t xml:space="preserve"> </w:t>
      </w:r>
      <w:r>
        <w:t xml:space="preserve">“deep learning”</w:t>
      </w:r>
      <w:r>
        <w:t xml:space="preserve"> </w:t>
      </w:r>
      <w:r>
        <w:t xml:space="preserve">(MLP) se ejecutó bajo las mismas reglas pre-registradas y perdió en ambos módulos: con n≈150 países la señal la captura la estructura lineal, y así se defiende.</w:t>
      </w:r>
    </w:p>
    <w:bookmarkEnd w:id="38"/>
    <w:bookmarkStart w:id="39" w:name="quater-capas-de-demanda-crédito-y-suelo"/>
    <w:p>
      <w:pPr>
        <w:pStyle w:val="Heading3"/>
      </w:pPr>
      <w:r>
        <w:t xml:space="preserve">4.3-quater Capas de demanda, crédito y suelo</w:t>
      </w:r>
    </w:p>
    <w:p>
      <w:pPr>
        <w:pStyle w:val="FirstParagraph"/>
      </w:pPr>
      <w:r>
        <w:t xml:space="preserve">Segunda expansión (</w:t>
      </w:r>
      <w:r>
        <w:rPr>
          <w:rStyle w:val="VerbatimChar"/>
        </w:rPr>
        <w:t xml:space="preserve">docs/RESULTADOS_VIVIENDA.md</w:t>
      </w:r>
      <w:r>
        <w:t xml:space="preserve">): compraventas e hipotecas mensuales por CCAA (INE), población trimestral por CCAA desde 1971 (ECP), mercado de suelo trimestral 2004– (MITMA: número, valor, superficie y precio de transacciones), stock de suelo urbanizable planificado por CCAA (SIU 2021 y 2025) y criterios de crédito vivienda (ECB BLS 2003–). Hallazgos descriptivos: la superficie de suelo transmitida sigue a ~1/5 del pico de 2004 (117→25 millones m²) mientras los precios aceleran, y Madrid reduce su suelo urbanizable (9,4 %→8,9 % con cobertura completa) — la restricción de oferta empieza aguas arriba de los visados. El contest de validación con estas capas como features rezagadas produjo el</w:t>
      </w:r>
      <w:r>
        <w:t xml:space="preserve"> </w:t>
      </w:r>
      <w:r>
        <w:rPr>
          <w:b/>
          <w:bCs/>
        </w:rPr>
        <w:t xml:space="preserve">cuarto resultado negativo pre-registrado</w:t>
      </w:r>
      <w:r>
        <w:t xml:space="preserve"> </w:t>
      </w:r>
      <w:r>
        <w:t xml:space="preserve">(GBM+demanda 0/17 CCAA vs drift; MASE 0,653 vs 0,395): el modelo de producción sigue siendo el drift, y las capas quedan como valor descriptivo y opción de giro validable solo con datos 2026+.</w:t>
      </w:r>
    </w:p>
    <w:bookmarkEnd w:id="39"/>
    <w:bookmarkStart w:id="40" w:name="X3cf67159036d9c8ffae7f4c2337730a173a4576"/>
    <w:p>
      <w:pPr>
        <w:pStyle w:val="Heading3"/>
      </w:pPr>
      <w:r>
        <w:t xml:space="preserve">4.3-quinquies Panel internacional de vivienda y suelo</w:t>
      </w:r>
    </w:p>
    <w:p>
      <w:pPr>
        <w:pStyle w:val="FirstParagraph"/>
      </w:pPr>
      <w:r>
        <w:t xml:space="preserve">Con BIS (precios reales, 61 áreas, ES desde 1971), OCDE (precio/renta disponible, 50 países) y suelo artificial satelital (OCDE/ESA 2000–2022) se construyó</w:t>
      </w:r>
      <w:r>
        <w:t xml:space="preserve"> </w:t>
      </w:r>
      <w:r>
        <w:rPr>
          <w:rStyle w:val="VerbatimChar"/>
        </w:rPr>
        <w:t xml:space="preserve">gold_vivienda_global.csv</w:t>
      </w:r>
      <w:r>
        <w:t xml:space="preserve"> </w:t>
      </w:r>
      <w:r>
        <w:t xml:space="preserve">(</w:t>
      </w:r>
      <w:r>
        <w:rPr>
          <w:rStyle w:val="VerbatimChar"/>
        </w:rPr>
        <w:t xml:space="preserve">docs/RESULTADOS_VIVIENDA.md</w:t>
      </w:r>
      <w:r>
        <w:t xml:space="preserve">, figura b18). España: +46 % real desde 2015 y precio/renta 132,5 (2015=100), en la senda portuguesa (+125 %, 178,8) y lejos de la italiana (−3,7 %, 89,1). El dato incómodo: España es también el país núcleo que más suelo artificial ha creado (+120 % desde 2000, el doble que Alemania) — y transversalmente, en 40 países, Spearman(precio/renta, crecimiento de suelo artificial) = +0,01:</w:t>
      </w:r>
      <w:r>
        <w:t xml:space="preserve"> </w:t>
      </w:r>
      <w:r>
        <w:rPr>
          <w:b/>
          <w:bCs/>
        </w:rPr>
        <w:t xml:space="preserve">urbanizar más suelo no compra asequibilidad</w:t>
      </w:r>
      <w:r>
        <w:t xml:space="preserve">; el cuello de botella es el suelo que llega al mercado (transacciones a 1/5 del pico), no el consumido. Declarado: no existe €/m² comparable abierto ni suelo urbanizable legal armonizado entre países — el SIU español es una rareza estadística.</w:t>
      </w:r>
    </w:p>
    <w:bookmarkEnd w:id="40"/>
    <w:bookmarkStart w:id="41" w:name="Xe0a6489e188f475ab2384e234847d405449003e"/>
    <w:p>
      <w:pPr>
        <w:pStyle w:val="Heading3"/>
      </w:pPr>
      <w:r>
        <w:t xml:space="preserve">4.3-sexies Deep learning de verdad: dos rutas contra el protocolo</w:t>
      </w:r>
    </w:p>
    <w:p>
      <w:pPr>
        <w:pStyle w:val="FirstParagraph"/>
      </w:pPr>
      <w:r>
        <w:t xml:space="preserve">Con las bases que sí permiten entrenar DL (</w:t>
      </w:r>
      <w:r>
        <w:rPr>
          <w:rStyle w:val="VerbatimChar"/>
        </w:rPr>
        <w:t xml:space="preserve">docs/RESULTADOS_VIVIENDA.md</w:t>
      </w:r>
      <w:r>
        <w:t xml:space="preserve">): (a)</w:t>
      </w:r>
      <w:r>
        <w:t xml:space="preserve"> </w:t>
      </w:r>
      <w:r>
        <w:rPr>
          <w:b/>
          <w:bCs/>
        </w:rPr>
        <w:t xml:space="preserve">Chronos-Bolt zero-shot</w:t>
      </w:r>
      <w:r>
        <w:t xml:space="preserve"> </w:t>
      </w:r>
      <w:r>
        <w:t xml:space="preserve">(fundacional, preentrenado en millones de series): MASE h≤4 0,460 — mejor que todo candidato clásico, por debajo del drift (0,395) en todos los horizontes y roto a h≥6; 0/17 CCAA. (b)</w:t>
      </w:r>
      <w:r>
        <w:t xml:space="preserve"> </w:t>
      </w:r>
      <w:r>
        <w:rPr>
          <w:b/>
          <w:bCs/>
        </w:rPr>
        <w:t xml:space="preserve">DL global entrenado en 1.760 series regionales extranjeras</w:t>
      </w:r>
      <w:r>
        <w:t xml:space="preserve"> </w:t>
      </w:r>
      <w:r>
        <w:t xml:space="preserve">(FHFA+Zillow+UK, 208.640 observaciones, 113.649 ventanas con objetivo ≤2019Q3, España nunca en el entrenamiento):</w:t>
      </w:r>
      <w:r>
        <w:t xml:space="preserve"> </w:t>
      </w:r>
      <w:r>
        <w:rPr>
          <w:b/>
          <w:bCs/>
        </w:rPr>
        <w:t xml:space="preserve">empate técnico con el campeón</w:t>
      </w:r>
      <w:r>
        <w:t xml:space="preserve"> </w:t>
      </w:r>
      <w:r>
        <w:t xml:space="preserve">— MASE h≤4 0,401 vs 0,395, gana en 7/17 CCAA y bate al drift en h=2. No alcanza el criterio (12/17) y no se adopta; es el primer candidato en cinco contests que llega al empate, y la lectura es direccional: el corpus de dominio (ciclos inmobiliarios extranjeros completos) aporta lo que ni las features ricas ni el preentrenamiento genérico aportaron. Revalidación declarada solo con orígenes 2026+; si el ciclo español gira, esta es la apuesta auditable en tiempo real.</w:t>
      </w:r>
    </w:p>
    <w:bookmarkEnd w:id="41"/>
    <w:bookmarkStart w:id="42" w:name="X5566791e8a024aa4146954a42e43fceee3ad762"/>
    <w:p>
      <w:pPr>
        <w:pStyle w:val="Heading3"/>
      </w:pPr>
      <w:r>
        <w:t xml:space="preserve">4.3-septies Desglose fiscal mundial y reconciliación de fuentes</w:t>
      </w:r>
    </w:p>
    <w:p>
      <w:pPr>
        <w:pStyle w:val="FirstParagraph"/>
      </w:pPr>
      <w:r>
        <w:t xml:space="preserve">Con la API nueva del FMI se incorporaron el gasto por función COFOG de 89 países (GFS_COFOG, 1972–2025) y los ingresos por tipo de 195 países (WoRLD, 1980–2024), más las Global Revenue Statistics de la OCDE (146 países) como compilación independiente (</w:t>
      </w:r>
      <w:r>
        <w:rPr>
          <w:rStyle w:val="VerbatimChar"/>
        </w:rPr>
        <w:t xml:space="preserve">docs/RESULTADOS_FISCAL_BIENESTAR.md</w:t>
      </w:r>
      <w:r>
        <w:t xml:space="preserve">). La reconciliación cruzada — 15/15 checks OK en</w:t>
      </w:r>
      <w:r>
        <w:t xml:space="preserve"> </w:t>
      </w:r>
      <w:r>
        <w:rPr>
          <w:rStyle w:val="VerbatimChar"/>
        </w:rPr>
        <w:t xml:space="preserve">gold_fiscal_reconciliation.csv</w:t>
      </w:r>
      <w:r>
        <w:t xml:space="preserve"> </w:t>
      </w:r>
      <w:r>
        <w:t xml:space="preserve">— valida los valores que el proyecto venía usando: Eurostat e IMF coinciden función a función con brechas de 0,03–0,06 pp de PIB; ingresos totales cuadran a 0,3–0,7 pp entre tres fuentes; la única brecha sistemática (Rumanía, 3–4,5 pp vs WEO) es metodológica (caja vs devengo) y queda declarada como regla operativa: Eurostat canónico en la UE, GFS/WoRLD fuera, WEO solo para totales largos y proyecciones. España validada: gasto 2024 con protección social 18,7 y salud 6,3 % PIB; ingresos 2023 = 41,2 % (impuestos 23,6 + cotizaciones 13,2 + resto), con IRPF (8,7) triplicando sociedades (2,9).</w:t>
      </w:r>
    </w:p>
    <w:bookmarkEnd w:id="42"/>
    <w:bookmarkStart w:id="43" w:name="Xfb89f645c70935ee7ce17d02d88ee9c65337a31"/>
    <w:p>
      <w:pPr>
        <w:pStyle w:val="Heading3"/>
      </w:pPr>
      <w:r>
        <w:t xml:space="preserve">4.3-octies Series históricas: denominador verificado y empalme 1703–2025</w:t>
      </w:r>
    </w:p>
    <w:p>
      <w:pPr>
        <w:pStyle w:val="FirstParagraph"/>
      </w:pPr>
      <w:r>
        <w:t xml:space="preserve">Con los niveles de JST (PIB, ingresos y gasto en moneda corriente) se verificó que los porcentajes son reproducibles desde cifras primarias (recalculado vs publicado: 0,000000 pp en 2.516 país-años) — tenemos el PIB, no ratios opacos. La reconciliación del solape 1995–2020 descubrió la trampa clásica de las series largas y la midió: JST es solo administración central (brecha 21 pp vs Eurostat), WEO salta de perímetro justo en 1995 (ES 12,8→44,5), y GMD es el único continuo en perímetro AAPP (0,04 pp de brecha) → empalme canónico = Eurostat 1995+ + GMD antes (</w:t>
      </w:r>
      <w:r>
        <w:rPr>
          <w:rStyle w:val="VerbatimChar"/>
        </w:rPr>
        <w:t xml:space="preserve">gold_fiscal_historico.csv</w:t>
      </w:r>
      <w:r>
        <w:t xml:space="preserve">, figura b19,</w:t>
      </w:r>
      <w:r>
        <w:t xml:space="preserve"> </w:t>
      </w:r>
      <w:r>
        <w:rPr>
          <w:rStyle w:val="VerbatimChar"/>
        </w:rPr>
        <w:t xml:space="preserve">docs/RESULTADOS_FISCAL_BIENESTAR.md</w:t>
      </w:r>
      <w:r>
        <w:t xml:space="preserve">). España 1703–2025 queda contada en una sola serie: Estado del 10 % en 1900, transición fiscal 1977–1995 (+15 pp en 18 años, el evento del siglo), déficit crónico solo desde el Estado del bienestar, tijera de 11,5 pp en 2012.</w:t>
      </w:r>
    </w:p>
    <w:bookmarkEnd w:id="43"/>
    <w:bookmarkStart w:id="44" w:name="Xfb03efeef85515f4ebdaca6f85ea60a3ebaa2c2"/>
    <w:p>
      <w:pPr>
        <w:pStyle w:val="Heading3"/>
      </w:pPr>
      <w:r>
        <w:t xml:space="preserve">4.3-nonies Bienestar y pobreza infantil: el marco MPI contra el dinero público</w:t>
      </w:r>
    </w:p>
    <w:p>
      <w:pPr>
        <w:pStyle w:val="FirstParagraph"/>
      </w:pPr>
      <w:r>
        <w:t xml:space="preserve">Los 7 bloques del marco bienestar↔pobreza infantil (UN/WB/UNICEF) quedan mapeados a 13 series abiertas + AROPE infantil UE (</w:t>
      </w:r>
      <w:r>
        <w:rPr>
          <w:rStyle w:val="VerbatimChar"/>
        </w:rPr>
        <w:t xml:space="preserve">docs/RESULTADOS_FISCAL_BIENESTAR.md</w:t>
      </w:r>
      <w:r>
        <w:t xml:space="preserve">), y la frontera A1 se replica en un tercer dominio con el ingreso público (WoRLD) como dinero de entrada: log-mortalidad &lt;5 (185 países) y stunting (124) ~ ingresos + renta + urbanización, LOOCV, conformal por cuartil. El OLS vuelve a ganar en ambos (GBM no cumple; MLP omitido y declarado). España mejor que lo esperado y dentro de banda (−0,51±0,93); los extremos validan el método (Guinea Ecuatorial ≈8,5× la mortalidad esperada para su renta; Guatemala +29 pp de stunting). Descriptivo del marco completo: Spearman(ingresos públicos, dimensión) entre −0,60 (mortalidad) y +0,56 (agua segura), todas las direcciones correctas — más capacidad fiscal, menos privación en las 7 dimensiones, y la frontera identifica quién convierte mejor a renta comparable. Cierra el triángulo del proyecto: gasto por función + ingresos por tipo + resultados de bienestar objetivos.</w:t>
      </w:r>
    </w:p>
    <w:bookmarkEnd w:id="44"/>
    <w:bookmarkStart w:id="48"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46" name="Picture"/>
            <a:graphic>
              <a:graphicData uri="http://schemas.openxmlformats.org/drawingml/2006/picture">
                <pic:pic>
                  <pic:nvPicPr>
                    <pic:cNvPr descr="figures/d1/d1_deuda_escenarios.png" id="47" name="Picture"/>
                    <pic:cNvPicPr>
                      <a:picLocks noChangeArrowheads="1" noChangeAspect="1"/>
                    </pic:cNvPicPr>
                  </pic:nvPicPr>
                  <pic:blipFill>
                    <a:blip r:embed="rId45"/>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48"/>
    <w:bookmarkStart w:id="49" w:name="X9e0299a6af8e857b94f001de4e9de71b7521d9c"/>
    <w:p>
      <w:pPr>
        <w:pStyle w:val="Heading3"/>
      </w:pPr>
      <w:r>
        <w:t xml:space="preserve">4.4-bis Horizonte 50 años: sobres condicionales de economía y bienestar</w:t>
      </w:r>
    </w:p>
    <w:p>
      <w:pPr>
        <w:pStyle w:val="FirstParagraph"/>
      </w:pPr>
      <w:r>
        <w:t xml:space="preserve">El sistema se extiende a 2070 como máquina de sobres condicionales — nunca como pronosticador — con cinco piezas (</w:t>
      </w:r>
      <w:r>
        <w:rPr>
          <w:rStyle w:val="VerbatimChar"/>
        </w:rPr>
        <w:t xml:space="preserve">docs/RESULTADOS_FISCAL_BIENESTAR.md</w:t>
      </w:r>
      <w:r>
        <w:t xml:space="preserve">): (1) la frontera ingreso→bienestar re-estimada como PANEL within (184 países, FE país+año, CR1): el efecto del ingreso es nulo a 2–5 años y aparece a retardo 8 (−0,0036±0,0015 por pp), ~3× menor que el transversal — simular con el transversal sobrestimaría lo que compra el dinero; la renta domina (γ=−0,51±0,06). (2) Monte Carlo del simulador de deuda con la incertidumbre de parámetros propagada (4.000 trayectorias × escenario; coherente con el menú discreto: central 2050 mediana 231 vs 224, banda 90 % más ancha como debe). (3) Horizonte 2070 (EUROPOP): central mediana 409 % PIB [272–619] — el ancho ES el mensaje. (4) Sobres de bienestar 2050/2070 encadenando solo parámetros within: crecimiento 1 % pc/año → mortalidad &lt;5 −12 %/−21 % vs senda base; la palanca fiscal ±2,5 pp añade ±0,8 % — real pero de segundo orden. (5) Pseudo-backtest de continuidad sobre las DOS ventanas reales de 50 años del panel histórico (1925→1975, 1975→2025): errores medianos 12,7–21,5 pp de PIB congelando, peores extrapolando tendencia (p90 102 pp); España +19 pp (la transición fiscal, invisible para la continuidad).</w:t>
      </w:r>
      <w:r>
        <w:t xml:space="preserve"> </w:t>
      </w:r>
      <w:r>
        <w:rPr>
          <w:b/>
          <w:bCs/>
        </w:rPr>
        <w:t xml:space="preserve">Calibración fijada: todo sobre a 50 años más estrecho de ~13 pp de PIB finge certeza.</w:t>
      </w:r>
      <w:r>
        <w:t xml:space="preserve"> </w:t>
      </w:r>
      <w:r>
        <w:t xml:space="preserve">Un solo driver pronosticado (demografía); todo lo demás, palanca expuesta.</w:t>
      </w:r>
    </w:p>
    <w:bookmarkEnd w:id="49"/>
    <w:bookmarkStart w:id="50" w:name="Xbf8ebb698038c301a42ba650d865652043dcc08"/>
    <w:p>
      <w:pPr>
        <w:pStyle w:val="Heading3"/>
      </w:pPr>
      <w:r>
        <w:t xml:space="preserve">4.5 El producto (MVP): dashboard publicado, API y arranque garantizado</w:t>
      </w:r>
    </w:p>
    <w:p>
      <w:pPr>
        <w:pStyle w:val="FirstParagraph"/>
      </w:pPr>
      <w:r>
        <w:t xml:space="preserve">Tres superficies sobre la misma capa gold. (1)</w:t>
      </w:r>
      <w:r>
        <w:t xml:space="preserve"> </w:t>
      </w:r>
      <w:r>
        <w:rPr>
          <w:b/>
          <w:bCs/>
        </w:rPr>
        <w:t xml:space="preserve">Dashboard Streamlit de cinco pestañas</w:t>
      </w:r>
      <w:r>
        <w:t xml:space="preserve"> </w:t>
      </w:r>
      <w:r>
        <w:t xml:space="preserve">(asequibilidad con abanico, atlas, funnel A1, simulador de deuda con palancas, horizonte 50 años con Monte Carlo),</w:t>
      </w:r>
      <w:r>
        <w:t xml:space="preserve"> </w:t>
      </w:r>
      <w:r>
        <w:rPr>
          <w:b/>
          <w:bCs/>
        </w:rPr>
        <w:t xml:space="preserve">publicado en abierto</w:t>
      </w:r>
      <w:r>
        <w:t xml:space="preserve"> </w:t>
      </w:r>
      <w:r>
        <w:t xml:space="preserve">en https://tfm-data-science-ufgfhpcvydyrswwzm7t6sz.streamlit.app/ — se redespliega automáticamente con cada push al repositorio. (2)</w:t>
      </w:r>
      <w:r>
        <w:t xml:space="preserve"> </w:t>
      </w:r>
      <w:r>
        <w:rPr>
          <w:b/>
          <w:bCs/>
        </w:rPr>
        <w:t xml:space="preserve">API FastAPI</w:t>
      </w:r>
      <w:r>
        <w:t xml:space="preserve"> </w:t>
      </w:r>
      <w:r>
        <w:t xml:space="preserve">con todos los artefactos y el simulador interactivo (</w:t>
      </w:r>
      <w:r>
        <w:rPr>
          <w:rStyle w:val="VerbatimChar"/>
        </w:rPr>
        <w:t xml:space="preserve">POST /scenario</w:t>
      </w:r>
      <w:r>
        <w:t xml:space="preserve">). (3)</w:t>
      </w:r>
      <w:r>
        <w:t xml:space="preserve"> </w:t>
      </w:r>
      <w:r>
        <w:rPr>
          <w:b/>
          <w:bCs/>
        </w:rPr>
        <w:t xml:space="preserve">Arranque garantizado con Docker</w:t>
      </w:r>
      <w:r>
        <w:t xml:space="preserve">:</w:t>
      </w:r>
      <w:r>
        <w:t xml:space="preserve"> </w:t>
      </w:r>
      <w:r>
        <w:rPr>
          <w:rStyle w:val="VerbatimChar"/>
        </w:rPr>
        <w:t xml:space="preserve">docker compose up --build</w:t>
      </w:r>
      <w:r>
        <w:t xml:space="preserve"> </w:t>
      </w:r>
      <w:r>
        <w:t xml:space="preserve">levanta dashboard (8501) y API (8010) con los datos dentro de las imágenes — replicar no requiere Python, dependencias ni descargas; también sirve como modo sin-red para la defensa. Las advertencias de método viajan dentro de las respuestas de la API y de cada pestaña: la honestidad es parte del producto, no de la letra pequeña.</w:t>
      </w:r>
    </w:p>
    <w:bookmarkEnd w:id="50"/>
    <w:bookmarkStart w:id="51" w:name="por-qué-no-basta-un-llm"/>
    <w:p>
      <w:pPr>
        <w:pStyle w:val="Heading3"/>
      </w:pPr>
      <w:r>
        <w:t xml:space="preserve">4.6 ¿Por qué no basta un LLM?</w:t>
      </w:r>
    </w:p>
    <w:p>
      <w:pPr>
        <w:pStyle w:val="FirstParagraph"/>
      </w:pPr>
      <w:r>
        <w:t xml:space="preserve">La pregunta obligada hoy: ¿no respondería todo esto un modelo de lenguaje? No, y la diferencia es examinable. Un LLM produce números</w:t>
      </w:r>
      <w:r>
        <w:t xml:space="preserve"> </w:t>
      </w:r>
      <w:r>
        <w:rPr>
          <w:i/>
          <w:iCs/>
        </w:rPr>
        <w:t xml:space="preserve">recordados o patroneados del texto</w:t>
      </w:r>
      <w:r>
        <w:t xml:space="preserve"> </w:t>
      </w:r>
      <w:r>
        <w:t xml:space="preserve">con el que se entrenó; este sistema los</w:t>
      </w:r>
      <w:r>
        <w:t xml:space="preserve"> </w:t>
      </w:r>
      <w:r>
        <w:rPr>
          <w:i/>
          <w:iCs/>
        </w:rPr>
        <w:t xml:space="preserve">calcula</w:t>
      </w:r>
      <w:r>
        <w:t xml:space="preserve"> </w:t>
      </w:r>
      <w:r>
        <w:t xml:space="preserve">con estimadores específicos sobre datos con cadena de custodia. Cinco diferencias defendibles, cada una con evidencia propia del proyecto:</w:t>
      </w:r>
    </w:p>
    <w:p>
      <w:pPr>
        <w:pStyle w:val="Compact"/>
        <w:numPr>
          <w:ilvl w:val="0"/>
          <w:numId w:val="1004"/>
        </w:numPr>
      </w:pPr>
      <w:r>
        <w:rPr>
          <w:b/>
          <w:bCs/>
        </w:rPr>
        <w:t xml:space="preserve">Procedencia auditable</w:t>
      </w:r>
      <w:r>
        <w:t xml:space="preserve">: cada cifra traza hasta</w:t>
      </w:r>
      <w:r>
        <w:t xml:space="preserve"> </w:t>
      </w:r>
      <w:r>
        <w:rPr>
          <w:rStyle w:val="VerbatimChar"/>
        </w:rPr>
        <w:t xml:space="preserve">vintage_manifest.csv</w:t>
      </w:r>
      <w:r>
        <w:t xml:space="preserve"> </w:t>
      </w:r>
      <w:r>
        <w:t xml:space="preserve">(URL y fecha de cada descarga). La proyección de deuda de Q1 del stress test sale de una edición del WEO que está EN el repositorio; la de un LLM, de una memoria no verificable anterior a su corte de entrenamiento.</w:t>
      </w:r>
    </w:p>
    <w:p>
      <w:pPr>
        <w:pStyle w:val="Compact"/>
        <w:numPr>
          <w:ilvl w:val="0"/>
          <w:numId w:val="1004"/>
        </w:numPr>
      </w:pPr>
      <w:r>
        <w:rPr>
          <w:b/>
          <w:bCs/>
        </w:rPr>
        <w:t xml:space="preserve">Falsabilidad</w:t>
      </w:r>
      <w:r>
        <w:t xml:space="preserve">: las afirmaciones de rendimiento se puntúan out-of-sample (rolling-origin + test final de un solo uso). La mejor prueba de que la evaluación es real es que los modelos propios la</w:t>
      </w:r>
      <w:r>
        <w:t xml:space="preserve"> </w:t>
      </w:r>
      <w:r>
        <w:rPr>
          <w:b/>
          <w:bCs/>
        </w:rPr>
        <w:t xml:space="preserve">suspendieron tres veces en público</w:t>
      </w:r>
      <w:r>
        <w:t xml:space="preserve"> </w:t>
      </w:r>
      <w:r>
        <w:t xml:space="preserve">— la respuesta de un LLM no puede suspender un backtest porque nunca se presenta a uno.</w:t>
      </w:r>
    </w:p>
    <w:p>
      <w:pPr>
        <w:pStyle w:val="Compact"/>
        <w:numPr>
          <w:ilvl w:val="0"/>
          <w:numId w:val="1004"/>
        </w:numPr>
      </w:pPr>
      <w:r>
        <w:rPr>
          <w:b/>
          <w:bCs/>
        </w:rPr>
        <w:t xml:space="preserve">Incertidumbre calibrada</w:t>
      </w:r>
      <w:r>
        <w:t xml:space="preserve">: las bandas del abanico son cuantiles de errores medidos, con cobertura comprobable; los intervalos de A1 son conformal por grupo de renta. Un LLM emite</w:t>
      </w:r>
      <w:r>
        <w:t xml:space="preserve"> </w:t>
      </w:r>
      <w:r>
        <w:rPr>
          <w:i/>
          <w:iCs/>
        </w:rPr>
        <w:t xml:space="preserve">tono</w:t>
      </w:r>
      <w:r>
        <w:t xml:space="preserve"> </w:t>
      </w:r>
      <w:r>
        <w:t xml:space="preserve">de confianza, no intervalos calibrados.</w:t>
      </w:r>
    </w:p>
    <w:p>
      <w:pPr>
        <w:pStyle w:val="Compact"/>
        <w:numPr>
          <w:ilvl w:val="0"/>
          <w:numId w:val="1004"/>
        </w:numPr>
      </w:pPr>
      <w:r>
        <w:rPr>
          <w:b/>
          <w:bCs/>
        </w:rPr>
        <w:t xml:space="preserve">Reproducibilidad</w:t>
      </w:r>
      <w:r>
        <w:t xml:space="preserve">: mismo código + mismos datos → mismos números, con 95 tests que lo blindan (el tercer bug del parser lo cazó un test; el número erróneo de un LLM es silencioso para siempre).</w:t>
      </w:r>
    </w:p>
    <w:p>
      <w:pPr>
        <w:pStyle w:val="Compact"/>
        <w:numPr>
          <w:ilvl w:val="0"/>
          <w:numId w:val="1004"/>
        </w:numPr>
      </w:pPr>
      <w:r>
        <w:rPr>
          <w:b/>
          <w:bCs/>
        </w:rPr>
        <w:t xml:space="preserve">Rechazo por diseño</w:t>
      </w:r>
      <w:r>
        <w:t xml:space="preserve">: el reframe del Bloque D y los huecos declarados (déficit de vivienda, outcomes educativos) son arquitectura. Un LLM prescribe con soltura qué ministerios suprimir; este sistema pone precio a la pregunta (el 78 % del gasto) y devuelve la elección a la política.</w:t>
      </w:r>
    </w:p>
    <w:p>
      <w:pPr>
        <w:pStyle w:val="FirstParagraph"/>
      </w:pPr>
      <w:r>
        <w:t xml:space="preserve">Los objetos entrenados que un tribunal puede examinar: la elasticidad de las pensiones al envejecimiento (0,91 ± 0,19, SE agrupado), los cuantiles de error por horizonte que forman el abanico (aprendidos de 486 errores de backtesting), los residuales LOOCV con su semiancho conformal, la estructura adelantada de los permisos (r=0,57 a 11 trimestres) y los parámetros de los modelos evaluados y RECHAZADOS — el resultado negativo también es conocimiento entrenado.</w:t>
      </w:r>
    </w:p>
    <w:p>
      <w:pPr>
        <w:pStyle w:val="BodyText"/>
      </w:pPr>
      <w:r>
        <w:rPr>
          <w:b/>
          <w:bCs/>
        </w:rPr>
        <w:t xml:space="preserve">Evidencia empírica (ablación,</w:t>
      </w:r>
      <w:r>
        <w:rPr>
          <w:b/>
          <w:bCs/>
        </w:rPr>
        <w:t xml:space="preserve"> </w:t>
      </w:r>
      <w:r>
        <w:rPr>
          <w:rStyle w:val="VerbatimChar"/>
          <w:b/>
          <w:bCs/>
        </w:rPr>
        <w:t xml:space="preserve">docs/METODOLOGIA.md</w:t>
      </w:r>
      <w:r>
        <w:rPr>
          <w:b/>
          <w:bCs/>
        </w:rPr>
        <w:t xml:space="preserve">)</w:t>
      </w:r>
      <w:r>
        <w:t xml:space="preserve">: la afirmación anterior se comprobó como experimento. El mismo LLM (gemini-2.5-pro) respondió 12 preguntas cuya respuesta es una salida del sistema, en dos brazos idénticos salvo la capa de conocimiento: sin el sistema acertó</w:t>
      </w:r>
      <w:r>
        <w:t xml:space="preserve"> </w:t>
      </w:r>
      <w:r>
        <w:rPr>
          <w:b/>
          <w:bCs/>
        </w:rPr>
        <w:t xml:space="preserve">3/12</w:t>
      </w:r>
      <w:r>
        <w:t xml:space="preserve"> </w:t>
      </w:r>
      <w:r>
        <w:t xml:space="preserve">(error relativo mediano 27 %, con fallos de hasta 2382 %); con los resultados de la capa ML/DL recuperados por RAG,</w:t>
      </w:r>
      <w:r>
        <w:t xml:space="preserve"> </w:t>
      </w:r>
      <w:r>
        <w:rPr>
          <w:b/>
          <w:bCs/>
        </w:rPr>
        <w:t xml:space="preserve">11/12</w:t>
      </w:r>
      <w:r>
        <w:t xml:space="preserve"> </w:t>
      </w:r>
      <w:r>
        <w:t xml:space="preserve">(error mediano 0 %). Los fallos del LLM solo son del tipo</w:t>
      </w:r>
      <w:r>
        <w:t xml:space="preserve"> </w:t>
      </w:r>
      <w:r>
        <w:t xml:space="preserve">“plausible pero falso”</w:t>
      </w:r>
      <w:r>
        <w:t xml:space="preserve"> </w:t>
      </w:r>
      <w:r>
        <w:t xml:space="preserve">— proyecta la deuda 2050 en 135 % (ignora la presión demográfica que el motor cuantifica en +97 pp) e inventa una correlación suelo-precio de 0,35 donde el panel mide 0,01. La diferencia no es de matiz: es la capa ML/DL lo que produce los números, y sin ella el LLM se equivoca. Un test permanente (</w:t>
      </w:r>
      <w:r>
        <w:rPr>
          <w:rStyle w:val="VerbatimChar"/>
        </w:rPr>
        <w:t xml:space="preserve">tests/test_ablacion.py</w:t>
      </w:r>
      <w:r>
        <w:t xml:space="preserve">) falla si esa diferencia desaparece.</w:t>
      </w:r>
    </w:p>
    <w:p>
      <w:pPr>
        <w:pStyle w:val="BodyText"/>
      </w:pPr>
      <w:r>
        <w:rPr>
          <w:b/>
          <w:bCs/>
        </w:rPr>
        <w:t xml:space="preserve">Declaración de uso de IA</w:t>
      </w:r>
      <w:r>
        <w:t xml:space="preserve">: en este proyecto se emplearon asistentes LLM como herramienta de programación y redacción (proceso), nunca como fuente de los números (producto). El asistente RAG (motor por defecto gemini, con reserva automática a glm/mimo; también kimi/kimi-k3 disponibles) es el papel correcto de un LLM aquí: interfaz de lenguaje natural SOBRE los artefactos calculados — el LLM narra, el sistema calcula.</w:t>
      </w:r>
    </w:p>
    <w:bookmarkEnd w:id="51"/>
    <w:bookmarkEnd w:id="52"/>
    <w:bookmarkStart w:id="53" w:name="limitaciones"/>
    <w:p>
      <w:pPr>
        <w:pStyle w:val="Heading2"/>
      </w:pPr>
      <w:r>
        <w:t xml:space="preserve">5. Limitaciones</w:t>
      </w:r>
    </w:p>
    <w:p>
      <w:pPr>
        <w:pStyle w:val="Compact"/>
        <w:numPr>
          <w:ilvl w:val="0"/>
          <w:numId w:val="1005"/>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5"/>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5"/>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5"/>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5"/>
        </w:numPr>
      </w:pPr>
      <w:r>
        <w:rPr>
          <w:b/>
          <w:bCs/>
        </w:rPr>
        <w:t xml:space="preserve">El simulador es determinista y sin retroalimentaciones</w:t>
      </w:r>
      <w:r>
        <w:t xml:space="preserve">: mapa de sensibilidades, no pronóstico. Las bandas del motor de proyección usan el σ residual histórico y NO incluyen la incertidumbre de las elasticidades — los errores estándar agrupados por país son ≈2× los clásicos y así se reportan (la API lo declara en su respuesta).</w:t>
      </w:r>
      <w:r>
        <w:t xml:space="preserve"> </w:t>
      </w:r>
      <w:r>
        <w:t xml:space="preserve">5-bis.</w:t>
      </w:r>
      <w:r>
        <w:t xml:space="preserve"> </w:t>
      </w:r>
      <w:r>
        <w:rPr>
          <w:b/>
          <w:bCs/>
        </w:rPr>
        <w:t xml:space="preserve">Hiperparámetros sin optimizar</w:t>
      </w:r>
      <w:r>
        <w:t xml:space="preserve">: los GBM usan configuraciones conservadoras por defecto; con tres rechazos consecutivos del modelo flexible bajo reglas pre-registradas, optimizarlos habría sido buscar la métrica, no la verdad — la decisión es deliberada y se declara.</w:t>
      </w:r>
    </w:p>
    <w:p>
      <w:pPr>
        <w:pStyle w:val="Compact"/>
        <w:numPr>
          <w:ilvl w:val="0"/>
          <w:numId w:val="1005"/>
        </w:numPr>
      </w:pPr>
      <w:r>
        <w:rPr>
          <w:b/>
          <w:bCs/>
        </w:rPr>
        <w:t xml:space="preserve">Falacia ecológica</w:t>
      </w:r>
      <w:r>
        <w:t xml:space="preserve">: nada de lo dicho a nivel país habla de centros, sistemas o personas concretas.</w:t>
      </w:r>
    </w:p>
    <w:bookmarkEnd w:id="53"/>
    <w:bookmarkStart w:id="54" w:name="conclusiones"/>
    <w:p>
      <w:pPr>
        <w:pStyle w:val="Heading2"/>
      </w:pPr>
      <w:r>
        <w:t xml:space="preserve">6. Conclusiones</w:t>
      </w:r>
    </w:p>
    <w:p>
      <w:pPr>
        <w:pStyle w:val="Compact"/>
        <w:numPr>
          <w:ilvl w:val="0"/>
          <w:numId w:val="1006"/>
        </w:numPr>
      </w:pPr>
      <w:r>
        <w:rPr>
          <w:b/>
          <w:bCs/>
        </w:rPr>
        <w:t xml:space="preserve">El sistema funciona de principio a fin y está publicado.</w:t>
      </w:r>
      <w:r>
        <w:t xml:space="preserve"> </w:t>
      </w:r>
      <w:r>
        <w:t xml:space="preserve">Cualquiera puede consultarlo, probar sus propios escenarios y ver de dónde sale cada número. Se ha construido solo con fuentes públicas y herramientas abiertas, con una trazabilidad de nivel profesional: cada cifra puede seguirse hasta su descarga original, y todo el proceso se reproduce con un solo comando.</w:t>
      </w:r>
    </w:p>
    <w:p>
      <w:pPr>
        <w:pStyle w:val="Compact"/>
        <w:numPr>
          <w:ilvl w:val="0"/>
          <w:numId w:val="1006"/>
        </w:numPr>
      </w:pPr>
      <w:r>
        <w:rPr>
          <w:b/>
          <w:bCs/>
        </w:rPr>
        <w:t xml:space="preserve">Da respuestas claras a la pregunta de fondo.</w:t>
      </w:r>
      <w:r>
        <w:t xml:space="preserve"> </w:t>
      </w:r>
      <w:r>
        <w:t xml:space="preserve">La asequibilidad de la vivienda en España no se corrige sola (ni con salarios al 4 %); lo que el Estado gasta en construir vivienda es muy inferior a lo que invierte el sector privado; entre países, la renta explica la salud y la caída de la pobreza más que el propio gasto público; y el envejecimiento de la población pesa sobre la deuda más que cualquier decisión fiscal individual.</w:t>
      </w:r>
    </w:p>
    <w:p>
      <w:pPr>
        <w:pStyle w:val="Compact"/>
        <w:numPr>
          <w:ilvl w:val="0"/>
          <w:numId w:val="1006"/>
        </w:numPr>
      </w:pPr>
      <w:r>
        <w:rPr>
          <w:b/>
          <w:bCs/>
        </w:rPr>
        <w:t xml:space="preserve">La aportación que mejor defiende este trabajo es de método: saber dónde se puede predecir y dónde no.</w:t>
      </w:r>
      <w:r>
        <w:t xml:space="preserve"> </w:t>
      </w:r>
      <w:r>
        <w:t xml:space="preserve">Se fijaron las reglas antes de mirar y se dejó que descartaran lo vistoso; ganó lo sencillo, y una vez ese rigor evitó anunciar un desplome de precios en pleno auge. En un trabajo de fin de máster, donde la tentación es lucir el modelo más complejo, aquí se demuestra —con evidencia propia— que un modelo sencillo, bien medido y honesto vale más que uno complejo que solo aparenta acertar. Reconocer los límites de lo predecible no es una carencia del trabajo: es uno de sus resultados.</w:t>
      </w:r>
    </w:p>
    <w:bookmarkEnd w:id="54"/>
    <w:bookmarkStart w:id="55"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 registro formal de modelos y versiones (hoy el versionado es git + artefactos gold, suficiente a esta escala pero explícitamente mínimo).</w:t>
      </w:r>
    </w:p>
    <w:bookmarkEnd w:id="55"/>
    <w:bookmarkStart w:id="56"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7"/>
        </w:numPr>
      </w:pPr>
      <w:r>
        <w:t xml:space="preserve">Banco de España.</w:t>
      </w:r>
      <w:r>
        <w:t xml:space="preserve"> </w:t>
      </w:r>
      <w:r>
        <w:rPr>
          <w:i/>
          <w:iCs/>
        </w:rPr>
        <w:t xml:space="preserve">Tipos de interés: Euríbor a 12 meses</w:t>
      </w:r>
      <w:r>
        <w:t xml:space="preserve">. https://www.bde.es</w:t>
      </w:r>
    </w:p>
    <w:p>
      <w:pPr>
        <w:pStyle w:val="Compact"/>
        <w:numPr>
          <w:ilvl w:val="0"/>
          <w:numId w:val="1007"/>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7"/>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7"/>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7"/>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7"/>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7"/>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7"/>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7"/>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7"/>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8"/>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8"/>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8"/>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8"/>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8"/>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8"/>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8"/>
        </w:numPr>
      </w:pPr>
      <w:r>
        <w:t xml:space="preserve">Tanzi, V. y Schuknecht, L. (2000).</w:t>
      </w:r>
      <w:r>
        <w:t xml:space="preserve"> </w:t>
      </w:r>
      <w:r>
        <w:rPr>
          <w:i/>
          <w:iCs/>
        </w:rPr>
        <w:t xml:space="preserve">Public Spending in the 20th Century: A Global Perspective</w:t>
      </w:r>
      <w:r>
        <w:t xml:space="preserve">. Cambridge University Press.</w:t>
      </w:r>
    </w:p>
    <w:bookmarkEnd w:id="56"/>
    <w:bookmarkStart w:id="57" w:name="anexo-guía-de-reproducción"/>
    <w:p>
      <w:pPr>
        <w:pStyle w:val="Heading2"/>
      </w:pPr>
      <w:r>
        <w:t xml:space="preserve">Anexo — Guía de reproducción</w:t>
      </w:r>
    </w:p>
    <w:p>
      <w:pPr>
        <w:pStyle w:val="FirstParagraph"/>
      </w:pPr>
      <w:r>
        <w:rPr>
          <w:b/>
          <w:bCs/>
        </w:rPr>
        <w:t xml:space="preserve">Vía rápida (sin instalar nada más que Docker):</w:t>
      </w:r>
    </w:p>
    <w:p>
      <w:pPr>
        <w:pStyle w:val="SourceCode"/>
      </w:pPr>
      <w:r>
        <w:rPr>
          <w:rStyle w:val="VerbatimChar"/>
        </w:rPr>
        <w:t xml:space="preserve">docker compose up --build           # dashboard en :8501 y API en :8010, datos incluidos</w:t>
      </w:r>
    </w:p>
    <w:p>
      <w:pPr>
        <w:pStyle w:val="FirstParagraph"/>
      </w:pPr>
      <w:r>
        <w:t xml:space="preserve">Demo pública equivalente: https://tfm-data-science-ufgfhpcvydyrswwzm7t6sz.streamlit.app/</w:t>
      </w:r>
    </w:p>
    <w:p>
      <w:pPr>
        <w:pStyle w:val="BodyText"/>
      </w:pPr>
      <w:r>
        <w:rPr>
          <w:b/>
          <w:bCs/>
        </w:rPr>
        <w:t xml:space="preserve">Vía completa (re-ejecutar el pipeline; Python ≥3.10):</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figuras del atlas (B1–B19 con suelo e historia)</w:t>
      </w:r>
      <w:r>
        <w:br/>
      </w:r>
      <w:r>
        <w:rPr>
          <w:rStyle w:val="VerbatimChar"/>
        </w:rPr>
        <w:t xml:space="preserve">python3 analysis/rendimiento_a1.py  # A1 salud: funnel 164 países</w:t>
      </w:r>
      <w:r>
        <w:br/>
      </w:r>
      <w:r>
        <w:rPr>
          <w:rStyle w:val="VerbatimChar"/>
        </w:rPr>
        <w:t xml:space="preserve">python3 analysis/expansion_dl.py    # A1 educación + auditoría SPI</w:t>
      </w:r>
      <w:r>
        <w:br/>
      </w:r>
      <w:r>
        <w:rPr>
          <w:rStyle w:val="VerbatimChar"/>
        </w:rPr>
        <w:t xml:space="preserve">python3 analysis/bienestar_a1.py    # frontera ingreso→bienestar (marco MPI)</w:t>
      </w:r>
      <w:r>
        <w:br/>
      </w:r>
      <w:r>
        <w:rPr>
          <w:rStyle w:val="VerbatimChar"/>
        </w:rPr>
        <w:t xml:space="preserve">python3 analysis/bienestar_panel.py # panel within (parámetros de simulación a 50 años)</w:t>
      </w:r>
      <w:r>
        <w:br/>
      </w:r>
      <w:r>
        <w:rPr>
          <w:rStyle w:val="VerbatimChar"/>
        </w:rPr>
        <w:t xml:space="preserve">python3 analysis/escenarios_d1.py   # D1: menú de deuda 2024–2050</w:t>
      </w:r>
      <w:r>
        <w:br/>
      </w:r>
      <w:r>
        <w:rPr>
          <w:rStyle w:val="VerbatimChar"/>
        </w:rPr>
        <w:t xml:space="preserve">python3 analysis/mc_d1.py           # Monte Carlo de deuda hasta 2070</w:t>
      </w:r>
      <w:r>
        <w:br/>
      </w:r>
      <w:r>
        <w:rPr>
          <w:rStyle w:val="VerbatimChar"/>
        </w:rPr>
        <w:t xml:space="preserve">python3 analysis/bienestar_50.py    # sobres de bienestar 2050/2070</w:t>
      </w:r>
      <w:r>
        <w:br/>
      </w:r>
      <w:r>
        <w:rPr>
          <w:rStyle w:val="VerbatimChar"/>
        </w:rPr>
        <w:t xml:space="preserve">python3 analysis/backtest_50y.py    # calibración histórica de continuidad</w:t>
      </w:r>
      <w:r>
        <w:br/>
      </w:r>
      <w:r>
        <w:rPr>
          <w:rStyle w:val="VerbatimChar"/>
        </w:rPr>
        <w:t xml:space="preserve">python3 analysis/fiscal_breakdown.py    # desglose y reconciliación fiscal mundial</w:t>
      </w:r>
      <w:r>
        <w:br/>
      </w:r>
      <w:r>
        <w:rPr>
          <w:rStyle w:val="VerbatimChar"/>
        </w:rPr>
        <w:t xml:space="preserve">python3 analysis/fiscal_historia.py     # empalme histórico 1703–2025</w:t>
      </w:r>
      <w:r>
        <w:br/>
      </w:r>
      <w:r>
        <w:rPr>
          <w:rStyle w:val="VerbatimChar"/>
        </w:rPr>
        <w:t xml:space="preserve">python3 -m pytest tests/ -q         # 95 tests del contrato de datos y modelos</w:t>
      </w:r>
      <w:r>
        <w:br/>
      </w:r>
      <w:r>
        <w:rPr>
          <w:rStyle w:val="VerbatimChar"/>
        </w:rPr>
        <w:t xml:space="preserve">streamlit run app/dashboard.py      # dashboard (5 pestañas)</w:t>
      </w:r>
      <w:r>
        <w:br/>
      </w:r>
      <w:r>
        <w:rPr>
          <w:rStyle w:val="VerbatimChar"/>
        </w:rPr>
        <w:t xml:space="preserve">python3 app/rag_assistant.py "..."  # asistente RAG sobre la documentación del proyecto</w:t>
      </w:r>
    </w:p>
    <w:p>
      <w:pPr>
        <w:pStyle w:val="FirstParagraph"/>
      </w:pPr>
      <w:r>
        <w:t xml:space="preserve">Los contests DL (</w:t>
      </w:r>
      <w:r>
        <w:rPr>
          <w:rStyle w:val="VerbatimChar"/>
        </w:rPr>
        <w:t xml:space="preserve">foundation_t1.py</w:t>
      </w:r>
      <w:r>
        <w:t xml:space="preserve">,</w:t>
      </w:r>
      <w:r>
        <w:t xml:space="preserve"> </w:t>
      </w:r>
      <w:r>
        <w:rPr>
          <w:rStyle w:val="VerbatimChar"/>
        </w:rPr>
        <w:t xml:space="preserve">dl_global_t1.py</w:t>
      </w:r>
      <w:r>
        <w:t xml:space="preserve">,</w:t>
      </w:r>
      <w:r>
        <w:t xml:space="preserve"> </w:t>
      </w:r>
      <w:r>
        <w:rPr>
          <w:rStyle w:val="VerbatimChar"/>
        </w:rPr>
        <w:t xml:space="preserve">demanda_features.py</w:t>
      </w:r>
      <w:r>
        <w:t xml:space="preserve">) son re-ejecutables pero sus veredictos ya están registrados; el test final de T1 está gastado y no debe usarse para seleccionar. Documentos de detalle: los enlazados en la tabla del README, más</w:t>
      </w:r>
      <w:r>
        <w:t xml:space="preserve"> </w:t>
      </w:r>
      <w:r>
        <w:rPr>
          <w:rStyle w:val="VerbatimChar"/>
        </w:rPr>
        <w:t xml:space="preserve">docs/METODOLOGIA.md</w:t>
      </w:r>
      <w:r>
        <w:t xml:space="preserve"> </w:t>
      </w:r>
      <w:r>
        <w:t xml:space="preserve">(cómo se predice),</w:t>
      </w:r>
      <w:r>
        <w:t xml:space="preserve"> </w:t>
      </w:r>
      <w:r>
        <w:rPr>
          <w:rStyle w:val="VerbatimChar"/>
        </w:rPr>
        <w:t xml:space="preserve">docs/RESULTADOS_FISCAL_BIENESTAR.md</w:t>
      </w:r>
      <w:r>
        <w:t xml:space="preserve"> </w:t>
      </w:r>
      <w:r>
        <w:t xml:space="preserve">(sistema a 50 años) y</w:t>
      </w:r>
      <w:r>
        <w:t xml:space="preserve"> </w:t>
      </w:r>
      <w:r>
        <w:rPr>
          <w:rStyle w:val="VerbatimChar"/>
        </w:rPr>
        <w:t xml:space="preserve">docs/GUIA_USUARIO.md</w:t>
      </w:r>
      <w:r>
        <w:t xml:space="preserve"> </w:t>
      </w:r>
      <w:r>
        <w:t xml:space="preserve">(operación del producto).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2026-07-20T13:19:45Z</dcterms:created>
  <dcterms:modified xsi:type="dcterms:W3CDTF">2026-07-20T13:19:45Z</dcterms:modified>
</cp:coreProperties>
</file>

<file path=docProps/custom.xml><?xml version="1.0" encoding="utf-8"?>
<Properties xmlns="http://schemas.openxmlformats.org/officeDocument/2006/custom-properties" xmlns:vt="http://schemas.openxmlformats.org/officeDocument/2006/docPropsVTypes"/>
</file>