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4 bytes - doesn’t recognize non-integers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-2,147,483,648 to 2,147,483, 647</w:t>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8 bytes - double-precision 64-bit IEEE 754 floating point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approximately ±1.79769313486231570E+308</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(15 significant decimal digits)</w:t>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 true or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4 bytes - Like a double, but not as precise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approximately ±3.40282347E+38F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(6-7 significant decimal digits)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Java implements IEEE 754 standard</w:t>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2 bytes - a single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ffffff"/>
                <w:rtl w:val="0"/>
              </w:rPr>
              <w:t xml:space="preserve">0 to 65536</w:t>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2 bytes - 16 bit data type, can use a short to save memory in large arrays in situations where the memory savings actually matters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-32,768 to 32,767</w:t>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8 bytes - 64 bit data type that can hold more digits than a 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