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27.59999999999997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#define →→→ As constantes tem que ter todas as letras em Caixa Alta;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4455.4318618042225"/>
        <w:gridCol w:w="4904.568138195777"/>
        <w:tblGridChange w:id="0">
          <w:tblGrid>
            <w:gridCol w:w="4455.4318618042225"/>
            <w:gridCol w:w="4904.568138195777"/>
          </w:tblGrid>
        </w:tblGridChange>
      </w:tblGrid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Ex: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#define VARIAVEL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static const char VARIAVEL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variáveis globais precisam ter um g_(g e underline) antes do especificador.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Ex: int g_especificador;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typedef →→ Os typedefs tem que ter a primeira letra em caixa alta.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Ex: typedef int Inteiro;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funções, procedimentos e variáveis locais todas as letras minusculas.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Os operadores tem que ter espaço entre as variáveis.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27.59999999999997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highlight w:val="white"/>
                <w:rtl w:val="0"/>
              </w:rPr>
              <w:t xml:space="preserve">Ex: variavel1 &lt;= variavel2;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