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EBC116D" w:rsidP="6EBC116D" w:rsidRDefault="6EBC116D" w14:paraId="67EC97C1" w14:textId="012B5C98">
      <w:pPr>
        <w:pStyle w:val="ListParagraph"/>
        <w:numPr>
          <w:ilvl w:val="0"/>
          <w:numId w:val="3"/>
        </w:numPr>
        <w:jc w:val="both"/>
        <w:rPr/>
      </w:pPr>
      <w:r w:rsidR="6EBC116D">
        <w:rPr/>
        <w:t>Update on Country Information:</w:t>
      </w:r>
    </w:p>
    <w:p w:rsidR="6EBC116D" w:rsidP="6EBC116D" w:rsidRDefault="6EBC116D" w14:paraId="0F132C5B" w14:textId="3EE3935E">
      <w:pPr>
        <w:pStyle w:val="Normal"/>
        <w:ind w:left="0"/>
        <w:jc w:val="both"/>
      </w:pPr>
    </w:p>
    <w:p w:rsidR="6EBC116D" w:rsidP="6EBC116D" w:rsidRDefault="6EBC116D" w14:paraId="0CFFE7B3" w14:textId="1AB55E9A">
      <w:pPr>
        <w:pStyle w:val="ListParagraph"/>
        <w:numPr>
          <w:ilvl w:val="0"/>
          <w:numId w:val="6"/>
        </w:numPr>
        <w:jc w:val="both"/>
        <w:rPr/>
      </w:pPr>
      <w:r w:rsidR="6EBC116D">
        <w:rPr/>
        <w:t xml:space="preserve">Only 8 out of 40 countries had more than 10 visits (pls refer to </w:t>
      </w:r>
      <w:proofErr w:type="spellStart"/>
      <w:r w:rsidR="6EBC116D">
        <w:rPr/>
        <w:t>country_count</w:t>
      </w:r>
      <w:proofErr w:type="spellEnd"/>
      <w:r w:rsidR="6EBC116D">
        <w:rPr/>
        <w:t>.csv), so maybe it isn’t feasible to pool DNA by country, and we should stick with region...</w:t>
      </w:r>
    </w:p>
    <w:p w:rsidR="6EBC116D" w:rsidP="6EBC116D" w:rsidRDefault="6EBC116D" w14:paraId="08348B5F" w14:textId="5CD3F807">
      <w:pPr>
        <w:pStyle w:val="Normal"/>
        <w:ind w:left="0"/>
        <w:jc w:val="both"/>
      </w:pPr>
    </w:p>
    <w:p w:rsidR="6EBC116D" w:rsidP="6EBC116D" w:rsidRDefault="6EBC116D" w14:paraId="2411A0D1" w14:textId="50903A55">
      <w:pPr>
        <w:pStyle w:val="ListParagraph"/>
        <w:numPr>
          <w:ilvl w:val="0"/>
          <w:numId w:val="7"/>
        </w:numPr>
        <w:jc w:val="both"/>
        <w:rPr/>
      </w:pPr>
      <w:r w:rsidR="6EBC116D">
        <w:rPr/>
        <w:t xml:space="preserve">Some countries have large pools of travelers, such as Japan (n=41), mainland China (n=34), Russia (n=23) and Italy (n=18). I think looking at metagenomic data for these countries should </w:t>
      </w:r>
      <w:r w:rsidRPr="6EBC116D" w:rsidR="6EBC116D">
        <w:rPr>
          <w:i w:val="1"/>
          <w:iCs w:val="1"/>
        </w:rPr>
        <w:t>hopefully</w:t>
      </w:r>
      <w:r w:rsidR="6EBC116D">
        <w:rPr/>
        <w:t xml:space="preserve"> lead to some interesting results...</w:t>
      </w:r>
    </w:p>
    <w:p w:rsidR="6EBC116D" w:rsidP="6EBC116D" w:rsidRDefault="6EBC116D" w14:paraId="5B3323D5" w14:textId="6B4C2778">
      <w:pPr>
        <w:pStyle w:val="Normal"/>
        <w:ind w:left="0"/>
        <w:jc w:val="both"/>
      </w:pPr>
    </w:p>
    <w:p w:rsidR="6EBC116D" w:rsidP="6EBC116D" w:rsidRDefault="6EBC116D" w14:paraId="7DC5A892" w14:textId="1394F68D">
      <w:pPr>
        <w:pStyle w:val="ListParagraph"/>
        <w:numPr>
          <w:ilvl w:val="0"/>
          <w:numId w:val="8"/>
        </w:numPr>
        <w:jc w:val="both"/>
        <w:rPr/>
      </w:pPr>
      <w:r w:rsidR="6EBC116D">
        <w:rPr/>
        <w:t>13 participants traveled to more than one region. I’m not sure how Kan assigned the participant’s regions because she only selected one region for these ‘multiple-region’ participants. I don’t think this is a big issue for the functional metagenomics, we can just pick the region that the participant visited more often. (</w:t>
      </w:r>
      <w:r w:rsidR="6EBC116D">
        <w:rPr/>
        <w:t>e.g.</w:t>
      </w:r>
      <w:r w:rsidR="6EBC116D">
        <w:rPr/>
        <w:t xml:space="preserve"> One participant visited Beijing and multiple European countries, so I’ll assign them to be pooled with the EU samples for functional metagenomics)</w:t>
      </w:r>
    </w:p>
    <w:p w:rsidR="6EBC116D" w:rsidP="6EBC116D" w:rsidRDefault="6EBC116D" w14:paraId="0777A86D" w14:textId="34A43820">
      <w:pPr>
        <w:pStyle w:val="Normal"/>
        <w:ind w:left="0"/>
        <w:jc w:val="both"/>
      </w:pPr>
    </w:p>
    <w:p w:rsidR="6EBC116D" w:rsidP="6EBC116D" w:rsidRDefault="6EBC116D" w14:paraId="08EF5ECD" w14:textId="3AF6E1D5">
      <w:pPr>
        <w:pStyle w:val="Normal"/>
        <w:jc w:val="both"/>
      </w:pPr>
    </w:p>
    <w:p w:rsidR="6EBC116D" w:rsidP="6EBC116D" w:rsidRDefault="6EBC116D" w14:paraId="7B888804" w14:textId="7024EA66">
      <w:pPr>
        <w:jc w:val="both"/>
      </w:pPr>
      <w:r>
        <w:br w:type="page"/>
      </w:r>
    </w:p>
    <w:p w:rsidR="6EBC116D" w:rsidP="6EBC116D" w:rsidRDefault="6EBC116D" w14:paraId="7DA546C8" w14:textId="55CD7644">
      <w:pPr>
        <w:pStyle w:val="ListParagraph"/>
        <w:numPr>
          <w:ilvl w:val="0"/>
          <w:numId w:val="3"/>
        </w:numPr>
        <w:jc w:val="both"/>
        <w:rPr/>
      </w:pPr>
      <w:r w:rsidR="6EBC116D">
        <w:rPr/>
        <w:t>Update on Functional Metagenomics Protocol</w:t>
      </w:r>
    </w:p>
    <w:p w:rsidR="6EBC116D" w:rsidP="6EBC116D" w:rsidRDefault="6EBC116D" w14:paraId="68688AC2" w14:textId="766B9EC5">
      <w:pPr>
        <w:pStyle w:val="Normal"/>
        <w:ind w:left="0"/>
        <w:jc w:val="both"/>
      </w:pPr>
    </w:p>
    <w:p w:rsidR="6EBC116D" w:rsidP="6EBC116D" w:rsidRDefault="6EBC116D" w14:paraId="77DC2D43" w14:textId="29D54142">
      <w:pPr>
        <w:pStyle w:val="ListParagraph"/>
        <w:numPr>
          <w:ilvl w:val="0"/>
          <w:numId w:val="9"/>
        </w:numPr>
        <w:jc w:val="both"/>
        <w:rPr/>
      </w:pPr>
      <w:proofErr w:type="spellStart"/>
      <w:r w:rsidR="6EBC116D">
        <w:rPr/>
        <w:t>SzeWangs</w:t>
      </w:r>
      <w:proofErr w:type="spellEnd"/>
      <w:r w:rsidR="6EBC116D">
        <w:rPr/>
        <w:t xml:space="preserve"> protocols used a PCR purification kit after gel extraction. I think we should order it as well, should I ask quotation from Bun, and we can add it to the Gel Extraction Kit order? (</w:t>
      </w:r>
      <w:hyperlink r:id="R3f94c2a87c384085">
        <w:r w:rsidRPr="6EBC116D" w:rsidR="6EBC116D">
          <w:rPr>
            <w:rStyle w:val="Hyperlink"/>
          </w:rPr>
          <w:t>https://www.qiagen.com/us/products/discovery-and-translational-research/dna-rna-purification/dna-purification/dna-clean-up/qiaquick-pcr-purification-kit/?catno=28506</w:t>
        </w:r>
      </w:hyperlink>
      <w:r w:rsidR="6EBC116D">
        <w:rPr/>
        <w:t>; cat. No. 28104). Sorry for overlooking this, I assumed that the gel extraction kit would also purify DNA.</w:t>
      </w:r>
    </w:p>
    <w:p w:rsidR="6EBC116D" w:rsidP="6EBC116D" w:rsidRDefault="6EBC116D" w14:paraId="72B93393" w14:textId="41BF4FC1">
      <w:pPr>
        <w:pStyle w:val="Normal"/>
        <w:ind w:left="0"/>
        <w:jc w:val="both"/>
      </w:pPr>
    </w:p>
    <w:p w:rsidR="6EBC116D" w:rsidP="6EBC116D" w:rsidRDefault="6EBC116D" w14:paraId="74273352" w14:textId="1253B6DD">
      <w:pPr>
        <w:pStyle w:val="ListParagraph"/>
        <w:numPr>
          <w:ilvl w:val="0"/>
          <w:numId w:val="10"/>
        </w:numPr>
        <w:jc w:val="both"/>
        <w:rPr/>
      </w:pPr>
      <w:r w:rsidR="6EBC116D">
        <w:rPr/>
        <w:t xml:space="preserve">Also, I’ve drafted 11 antibiotics that we could use for plate screening (pls refer to ‘List of Antibiotics </w:t>
      </w:r>
      <w:proofErr w:type="gramStart"/>
      <w:r w:rsidR="6EBC116D">
        <w:rPr/>
        <w:t>1.xslx</w:t>
      </w:r>
      <w:proofErr w:type="gramEnd"/>
      <w:r w:rsidR="6EBC116D">
        <w:rPr/>
        <w:t>’, sheet titled ‘Draft Antibiotics’). 8</w:t>
      </w:r>
      <w:r w:rsidR="6EBC116D">
        <w:rPr/>
        <w:t>/11 are listed as critical antimicrobials by WHO (</w:t>
      </w:r>
      <w:hyperlink r:id="R68ebbb79c77c4b2e">
        <w:r w:rsidRPr="6EBC116D" w:rsidR="6EBC116D">
          <w:rPr>
            <w:rStyle w:val="Hyperlink"/>
          </w:rPr>
          <w:t>https://www.who.int/publications/i/item/9789241515528</w:t>
        </w:r>
      </w:hyperlink>
      <w:r w:rsidR="6EBC116D">
        <w:rPr/>
        <w:t xml:space="preserve">). </w:t>
      </w:r>
    </w:p>
    <w:p w:rsidR="6EBC116D" w:rsidP="6EBC116D" w:rsidRDefault="6EBC116D" w14:paraId="2A5826F9" w14:textId="05BC04A2">
      <w:pPr>
        <w:pStyle w:val="Normal"/>
        <w:ind w:left="0"/>
        <w:jc w:val="both"/>
      </w:pPr>
    </w:p>
    <w:p w:rsidR="6EBC116D" w:rsidP="6EBC116D" w:rsidRDefault="6EBC116D" w14:paraId="065659D8" w14:textId="5236AA07">
      <w:pPr>
        <w:pStyle w:val="ListParagraph"/>
        <w:numPr>
          <w:ilvl w:val="0"/>
          <w:numId w:val="11"/>
        </w:numPr>
        <w:jc w:val="both"/>
        <w:rPr/>
      </w:pPr>
      <w:r w:rsidR="6EBC116D">
        <w:rPr/>
        <w:t xml:space="preserve">I also went on the CLSI website to find the ideal MIC breakpoints for ampicillin (because Sze Wang wrote 100ug/mL and that was really high). Since ceftiofur is mainly used for swine pathogens, CLSI didn’t establish a resistance MIC breakpoint in human isolates, so I had to use the breakpoint from the </w:t>
      </w:r>
      <w:proofErr w:type="spellStart"/>
      <w:r w:rsidR="6EBC116D">
        <w:rPr/>
        <w:t>vetinary</w:t>
      </w:r>
      <w:proofErr w:type="spellEnd"/>
      <w:r w:rsidR="6EBC116D">
        <w:rPr/>
        <w:t xml:space="preserve"> protocols. </w:t>
      </w:r>
      <w:hyperlink r:id="R91fd7c7fbe2f43b1">
        <w:r w:rsidRPr="6EBC116D" w:rsidR="6EBC116D">
          <w:rPr>
            <w:rStyle w:val="Hyperlink"/>
          </w:rPr>
          <w:t>https://clsi.org/standards/products/free-resources/access-our-free-resources/</w:t>
        </w:r>
      </w:hyperlink>
      <w:r w:rsidR="6EBC116D">
        <w:rPr/>
        <w:t xml:space="preserve"> </w:t>
      </w:r>
    </w:p>
    <w:p w:rsidR="6EBC116D" w:rsidP="6EBC116D" w:rsidRDefault="6EBC116D" w14:paraId="57BB6914" w14:textId="37B4281A">
      <w:pPr>
        <w:pStyle w:val="Normal"/>
        <w:ind w:left="0"/>
        <w:jc w:val="both"/>
      </w:pPr>
    </w:p>
    <w:p w:rsidR="6EBC116D" w:rsidP="6EBC116D" w:rsidRDefault="6EBC116D" w14:paraId="33EC1ED8" w14:textId="09CE2381">
      <w:pPr>
        <w:pStyle w:val="ListParagraph"/>
        <w:numPr>
          <w:ilvl w:val="0"/>
          <w:numId w:val="12"/>
        </w:numPr>
        <w:jc w:val="both"/>
        <w:rPr>
          <w:i w:val="0"/>
          <w:iCs w:val="0"/>
        </w:rPr>
      </w:pPr>
      <w:r w:rsidR="6EBC116D">
        <w:rPr/>
        <w:t xml:space="preserve">What are your thoughts on this list? Should we run this list by Hein? There are a couple of antibiotics I wanted to test at first, like vancomycin and erythromycin, but according to CLSI </w:t>
      </w:r>
      <w:r w:rsidRPr="6EBC116D" w:rsidR="6EBC116D">
        <w:rPr>
          <w:i w:val="1"/>
          <w:iCs w:val="1"/>
        </w:rPr>
        <w:t>E. coli</w:t>
      </w:r>
      <w:r w:rsidRPr="6EBC116D" w:rsidR="6EBC116D">
        <w:rPr>
          <w:i w:val="0"/>
          <w:iCs w:val="0"/>
        </w:rPr>
        <w:t xml:space="preserve"> is intrinsically resistant to them, and is a </w:t>
      </w:r>
      <w:proofErr w:type="gramStart"/>
      <w:r w:rsidRPr="6EBC116D" w:rsidR="6EBC116D">
        <w:rPr>
          <w:i w:val="0"/>
          <w:iCs w:val="0"/>
        </w:rPr>
        <w:t>poor target bacteria</w:t>
      </w:r>
      <w:proofErr w:type="gramEnd"/>
      <w:r w:rsidRPr="6EBC116D" w:rsidR="6EBC116D">
        <w:rPr>
          <w:i w:val="0"/>
          <w:iCs w:val="0"/>
        </w:rPr>
        <w:t xml:space="preserve"> for testing its resistance...</w:t>
      </w:r>
    </w:p>
    <w:p w:rsidR="6EBC116D" w:rsidP="6EBC116D" w:rsidRDefault="6EBC116D" w14:paraId="24A9E38D" w14:textId="62F64732">
      <w:pPr>
        <w:pStyle w:val="Normal"/>
        <w:jc w:val="both"/>
      </w:pPr>
    </w:p>
    <w:p w:rsidR="6EBC116D" w:rsidP="6EBC116D" w:rsidRDefault="6EBC116D" w14:paraId="44598201" w14:textId="41F760C9">
      <w:pPr>
        <w:pStyle w:val="ListParagraph"/>
        <w:numPr>
          <w:ilvl w:val="0"/>
          <w:numId w:val="13"/>
        </w:numPr>
        <w:jc w:val="both"/>
        <w:rPr/>
      </w:pPr>
      <w:r w:rsidR="6EBC116D">
        <w:rPr/>
        <w:t>Also, Sze Wang seemed to do MIC determination using the AST machine with clones after plate screening – I remember last time we said we didn’t really need to do it because we don’t really care about their MIC, but I just realized it might be a good way to see if the AMR genes isolated from one clone can confer resistance to multiple antibiotics... What do you think?</w:t>
      </w:r>
    </w:p>
    <w:p w:rsidR="6EBC116D" w:rsidP="6EBC116D" w:rsidRDefault="6EBC116D" w14:paraId="09D1E270" w14:textId="3E3267F1">
      <w:pPr>
        <w:pStyle w:val="Normal"/>
        <w:jc w:val="both"/>
      </w:pPr>
    </w:p>
    <w:p w:rsidR="6EBC116D" w:rsidP="6EBC116D" w:rsidRDefault="6EBC116D" w14:paraId="5E3E4447" w14:textId="0D99BCAE">
      <w:pPr>
        <w:pStyle w:val="Normal"/>
        <w:jc w:val="both"/>
      </w:pPr>
    </w:p>
    <w:p w:rsidR="6EBC116D" w:rsidP="6EBC116D" w:rsidRDefault="6EBC116D" w14:paraId="1D21255A" w14:textId="6D8EEA62">
      <w:pPr>
        <w:pStyle w:val="Normal"/>
        <w:jc w:val="both"/>
      </w:pPr>
    </w:p>
    <w:p w:rsidR="6EBC116D" w:rsidP="6EBC116D" w:rsidRDefault="6EBC116D" w14:paraId="60C9894F" w14:textId="2C353480">
      <w:pPr>
        <w:pStyle w:val="Normal"/>
        <w:jc w:val="both"/>
      </w:pPr>
    </w:p>
    <w:p w:rsidR="6EBC116D" w:rsidP="6EBC116D" w:rsidRDefault="6EBC116D" w14:paraId="11972194" w14:textId="2FE2A387">
      <w:pPr>
        <w:pStyle w:val="Normal"/>
        <w:jc w:val="both"/>
      </w:pPr>
    </w:p>
    <w:p w:rsidR="6EBC116D" w:rsidP="6EBC116D" w:rsidRDefault="6EBC116D" w14:paraId="7B8C6E02" w14:textId="7B672F75">
      <w:pPr>
        <w:pStyle w:val="Normal"/>
        <w:jc w:val="both"/>
      </w:pPr>
      <w:r>
        <w:br w:type="page"/>
      </w:r>
    </w:p>
    <w:p xmlns:wp14="http://schemas.microsoft.com/office/word/2010/wordml" w:rsidP="6EBC116D" w14:paraId="2C078E63" wp14:textId="6A0FEEC2">
      <w:pPr>
        <w:pStyle w:val="ListParagraph"/>
        <w:numPr>
          <w:ilvl w:val="0"/>
          <w:numId w:val="3"/>
        </w:numPr>
        <w:jc w:val="both"/>
        <w:rPr/>
      </w:pPr>
      <w:r w:rsidR="6EBC116D">
        <w:rPr/>
        <w:t>Plan for this week</w:t>
      </w:r>
    </w:p>
    <w:p w:rsidR="6EBC116D" w:rsidP="6EBC116D" w:rsidRDefault="6EBC116D" w14:paraId="25878484" w14:textId="69E52C42">
      <w:pPr>
        <w:pStyle w:val="ListParagraph"/>
        <w:numPr>
          <w:ilvl w:val="0"/>
          <w:numId w:val="15"/>
        </w:numPr>
        <w:jc w:val="both"/>
        <w:rPr/>
      </w:pPr>
      <w:r w:rsidR="6EBC116D">
        <w:rPr/>
        <w:t>Thursday</w:t>
      </w:r>
    </w:p>
    <w:p w:rsidR="6EBC116D" w:rsidP="6EBC116D" w:rsidRDefault="6EBC116D" w14:paraId="1B07D7A1" w14:textId="2075F4E8">
      <w:pPr>
        <w:pStyle w:val="ListParagraph"/>
        <w:numPr>
          <w:ilvl w:val="1"/>
          <w:numId w:val="15"/>
        </w:numPr>
        <w:jc w:val="both"/>
        <w:rPr/>
      </w:pPr>
      <w:proofErr w:type="spellStart"/>
      <w:r w:rsidR="6EBC116D">
        <w:rPr/>
        <w:t>Reculture</w:t>
      </w:r>
      <w:proofErr w:type="spellEnd"/>
      <w:r w:rsidR="6EBC116D">
        <w:rPr/>
        <w:t xml:space="preserve"> DH5-Alpha cells to test viability and to prepare for electro-competency</w:t>
      </w:r>
    </w:p>
    <w:p w:rsidR="6EBC116D" w:rsidP="6EBC116D" w:rsidRDefault="6EBC116D" w14:paraId="0C60759E" w14:textId="524FFA7C">
      <w:pPr>
        <w:pStyle w:val="ListParagraph"/>
        <w:numPr>
          <w:ilvl w:val="1"/>
          <w:numId w:val="15"/>
        </w:numPr>
        <w:jc w:val="both"/>
        <w:rPr/>
      </w:pPr>
      <w:r w:rsidR="6EBC116D">
        <w:rPr/>
        <w:t>Hilda is also coming to the lab, so she can show where the plasmid vectors are and we can culture it for extraction</w:t>
      </w:r>
    </w:p>
    <w:p w:rsidR="6EBC116D" w:rsidP="6EBC116D" w:rsidRDefault="6EBC116D" w14:paraId="7DFB0CCC" w14:textId="79C32A49">
      <w:pPr>
        <w:pStyle w:val="ListParagraph"/>
        <w:numPr>
          <w:ilvl w:val="1"/>
          <w:numId w:val="15"/>
        </w:numPr>
        <w:jc w:val="both"/>
        <w:rPr/>
      </w:pPr>
      <w:r w:rsidR="6EBC116D">
        <w:rPr/>
        <w:t xml:space="preserve">Prepare antibiotic plates </w:t>
      </w:r>
    </w:p>
    <w:p w:rsidR="6EBC116D" w:rsidP="6EBC116D" w:rsidRDefault="6EBC116D" w14:paraId="2E2DD08F" w14:textId="6C4D52F5">
      <w:pPr>
        <w:pStyle w:val="Normal"/>
        <w:ind w:left="0"/>
        <w:jc w:val="both"/>
      </w:pPr>
    </w:p>
    <w:p w:rsidR="6EBC116D" w:rsidP="6EBC116D" w:rsidRDefault="6EBC116D" w14:paraId="6B6A7030" w14:textId="09E95B74">
      <w:pPr>
        <w:pStyle w:val="ListParagraph"/>
        <w:numPr>
          <w:ilvl w:val="0"/>
          <w:numId w:val="16"/>
        </w:numPr>
        <w:jc w:val="both"/>
        <w:rPr/>
      </w:pPr>
      <w:r w:rsidR="6EBC116D">
        <w:rPr/>
        <w:t>Friday</w:t>
      </w:r>
    </w:p>
    <w:p w:rsidR="6EBC116D" w:rsidP="6EBC116D" w:rsidRDefault="6EBC116D" w14:paraId="188D7F22" w14:textId="537F2AB9">
      <w:pPr>
        <w:pStyle w:val="ListParagraph"/>
        <w:numPr>
          <w:ilvl w:val="1"/>
          <w:numId w:val="16"/>
        </w:numPr>
        <w:jc w:val="both"/>
        <w:rPr/>
      </w:pPr>
      <w:r w:rsidR="6EBC116D">
        <w:rPr/>
        <w:t>Prepare DH5-Alpha cells to be electrocompetent using Sze Wang’s protocol</w:t>
      </w:r>
    </w:p>
    <w:p w:rsidR="6EBC116D" w:rsidP="6EBC116D" w:rsidRDefault="6EBC116D" w14:paraId="2FE9DDE6" w14:textId="3E97B724">
      <w:pPr>
        <w:pStyle w:val="ListParagraph"/>
        <w:numPr>
          <w:ilvl w:val="1"/>
          <w:numId w:val="16"/>
        </w:numPr>
        <w:jc w:val="both"/>
        <w:rPr/>
      </w:pPr>
      <w:r w:rsidR="6EBC116D">
        <w:rPr/>
        <w:t xml:space="preserve">Extract plasmid vector </w:t>
      </w:r>
    </w:p>
    <w:p w:rsidR="6EBC116D" w:rsidP="6EBC116D" w:rsidRDefault="6EBC116D" w14:paraId="71AC8F32" w14:textId="6027E04F">
      <w:pPr>
        <w:pStyle w:val="Normal"/>
        <w:ind w:left="0"/>
        <w:jc w:val="both"/>
      </w:pPr>
    </w:p>
    <w:p w:rsidR="6EBC116D" w:rsidP="6EBC116D" w:rsidRDefault="6EBC116D" w14:paraId="5AB20FBF" w14:textId="7874CA55">
      <w:pPr>
        <w:pStyle w:val="Normal"/>
        <w:ind w:left="0"/>
        <w:jc w:val="both"/>
      </w:pPr>
    </w:p>
    <w:p w:rsidR="6EBC116D" w:rsidP="6EBC116D" w:rsidRDefault="6EBC116D" w14:paraId="2C6B68BE" w14:textId="2204C862">
      <w:pPr>
        <w:pStyle w:val="Normal"/>
        <w:ind w:left="0"/>
        <w:jc w:val="both"/>
      </w:pPr>
    </w:p>
    <w:p w:rsidR="6EBC116D" w:rsidP="6EBC116D" w:rsidRDefault="6EBC116D" w14:paraId="6F3958B4" w14:textId="4AF4544A">
      <w:pPr>
        <w:pStyle w:val="Normal"/>
        <w:ind w:left="0"/>
        <w:jc w:val="both"/>
      </w:pPr>
    </w:p>
    <w:p w:rsidR="6EBC116D" w:rsidP="6EBC116D" w:rsidRDefault="6EBC116D" w14:paraId="7B18F173" w14:textId="2A7B57EB">
      <w:pPr>
        <w:pStyle w:val="Normal"/>
        <w:ind w:left="0"/>
        <w:jc w:val="both"/>
      </w:pPr>
    </w:p>
    <w:p w:rsidR="6EBC116D" w:rsidP="6EBC116D" w:rsidRDefault="6EBC116D" w14:paraId="2DCBE63B" w14:textId="0A1EB8D4">
      <w:pPr>
        <w:pStyle w:val="Normal"/>
        <w:ind w:left="0"/>
        <w:jc w:val="both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CC2187"/>
    <w:rsid w:val="012AE546"/>
    <w:rsid w:val="012C55BC"/>
    <w:rsid w:val="020DD209"/>
    <w:rsid w:val="049D655D"/>
    <w:rsid w:val="04C1A590"/>
    <w:rsid w:val="06E1432C"/>
    <w:rsid w:val="07826EE3"/>
    <w:rsid w:val="07BADB28"/>
    <w:rsid w:val="07EB0A70"/>
    <w:rsid w:val="0956AB89"/>
    <w:rsid w:val="09E92802"/>
    <w:rsid w:val="0C8E4C4B"/>
    <w:rsid w:val="0D20C8C4"/>
    <w:rsid w:val="0EAF4432"/>
    <w:rsid w:val="11147452"/>
    <w:rsid w:val="11353ABE"/>
    <w:rsid w:val="12B044B3"/>
    <w:rsid w:val="15E726BF"/>
    <w:rsid w:val="166D4B5F"/>
    <w:rsid w:val="188C55A0"/>
    <w:rsid w:val="191EC781"/>
    <w:rsid w:val="196DD1ED"/>
    <w:rsid w:val="19A4EC21"/>
    <w:rsid w:val="1B793DF7"/>
    <w:rsid w:val="1CF0249F"/>
    <w:rsid w:val="1E0FC1B7"/>
    <w:rsid w:val="1EB23F7F"/>
    <w:rsid w:val="1FAD5785"/>
    <w:rsid w:val="21C395C2"/>
    <w:rsid w:val="235BC423"/>
    <w:rsid w:val="269364E5"/>
    <w:rsid w:val="2C747993"/>
    <w:rsid w:val="2C93C813"/>
    <w:rsid w:val="3104EC05"/>
    <w:rsid w:val="3381A558"/>
    <w:rsid w:val="343C8CC7"/>
    <w:rsid w:val="3515A5D4"/>
    <w:rsid w:val="363AAA59"/>
    <w:rsid w:val="38D0D40A"/>
    <w:rsid w:val="3E2C93E1"/>
    <w:rsid w:val="4127BD9A"/>
    <w:rsid w:val="446E35D3"/>
    <w:rsid w:val="449BD565"/>
    <w:rsid w:val="450F5950"/>
    <w:rsid w:val="455A0B40"/>
    <w:rsid w:val="46C91B88"/>
    <w:rsid w:val="4855D189"/>
    <w:rsid w:val="494FF808"/>
    <w:rsid w:val="49792C4C"/>
    <w:rsid w:val="4B9BC35D"/>
    <w:rsid w:val="4BC5AAC4"/>
    <w:rsid w:val="4CCE5109"/>
    <w:rsid w:val="4DB13DCC"/>
    <w:rsid w:val="4FE67592"/>
    <w:rsid w:val="506FFDCE"/>
    <w:rsid w:val="51DB9EE7"/>
    <w:rsid w:val="52CF60DF"/>
    <w:rsid w:val="546B3140"/>
    <w:rsid w:val="55044511"/>
    <w:rsid w:val="55BC4FB1"/>
    <w:rsid w:val="58CC2187"/>
    <w:rsid w:val="5B34795B"/>
    <w:rsid w:val="5B353811"/>
    <w:rsid w:val="5D7F8C75"/>
    <w:rsid w:val="65113DB0"/>
    <w:rsid w:val="657175FD"/>
    <w:rsid w:val="662512F1"/>
    <w:rsid w:val="66FD50A2"/>
    <w:rsid w:val="6710E85E"/>
    <w:rsid w:val="67871647"/>
    <w:rsid w:val="692CA433"/>
    <w:rsid w:val="6C129C1E"/>
    <w:rsid w:val="6C6444F5"/>
    <w:rsid w:val="6C6444F5"/>
    <w:rsid w:val="6E254D8B"/>
    <w:rsid w:val="6EBC116D"/>
    <w:rsid w:val="715CEE4D"/>
    <w:rsid w:val="72F8BEAE"/>
    <w:rsid w:val="74CA05FC"/>
    <w:rsid w:val="7518BB71"/>
    <w:rsid w:val="75538F33"/>
    <w:rsid w:val="7866EFC2"/>
    <w:rsid w:val="79389A38"/>
    <w:rsid w:val="79C260D8"/>
    <w:rsid w:val="7A3063D2"/>
    <w:rsid w:val="7A9F8B24"/>
    <w:rsid w:val="7C577422"/>
    <w:rsid w:val="7D3A60E5"/>
    <w:rsid w:val="7DF34483"/>
    <w:rsid w:val="7ED63146"/>
    <w:rsid w:val="7F8F1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C2187"/>
  <w15:chartTrackingRefBased/>
  <w15:docId w15:val="{C2C5B31B-BD4C-442C-B207-366BF2B3C0F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qiagen.com/us/products/discovery-and-translational-research/dna-rna-purification/dna-purification/dna-clean-up/qiaquick-pcr-purification-kit/?catno=28506" TargetMode="External" Id="R3f94c2a87c384085" /><Relationship Type="http://schemas.openxmlformats.org/officeDocument/2006/relationships/hyperlink" Target="https://www.who.int/publications/i/item/9789241515528" TargetMode="External" Id="R68ebbb79c77c4b2e" /><Relationship Type="http://schemas.openxmlformats.org/officeDocument/2006/relationships/hyperlink" Target="https://clsi.org/standards/products/free-resources/access-our-free-resources/" TargetMode="External" Id="R91fd7c7fbe2f43b1" /><Relationship Type="http://schemas.openxmlformats.org/officeDocument/2006/relationships/numbering" Target="numbering.xml" Id="R2531725664174a5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2022-03-15T02:13:36.0416186Z</dcterms:created>
  <dcterms:modified xsi:type="dcterms:W3CDTF">2022-03-15T06:57:54.8475707Z</dcterms:modified>
  <dc:creator>zysin909</dc:creator>
  <lastModifiedBy>zysin909</lastModifiedBy>
</coreProperties>
</file>