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2E75B6"/>
          <w:sz w:val="22"/>
          <w:szCs w:val="22"/>
        </w:rPr>
        <w:t xml:space="preserve">JLL  |  HACKATHON 2026</w:t>
      </w:r>
    </w:p>
    <w:p>
      <w:pPr>
        <w:pBdr>
          <w:bottom w:val="single" w:color="2E75B6" w:sz="12" w:space="6"/>
        </w:pBdr>
        <w:spacing w:before="40"/>
      </w:pPr>
    </w:p>
    <w:p>
      <w:pPr>
        <w:spacing w:after="0" w:before="360"/>
      </w:pPr>
      <w:r>
        <w:rPr>
          <w:b/>
          <w:bCs/>
          <w:color w:val="1F3864"/>
          <w:sz w:val="56"/>
          <w:szCs w:val="56"/>
        </w:rPr>
        <w:t xml:space="preserve">Intelligent Document</w:t>
      </w:r>
    </w:p>
    <w:p>
      <w:pPr>
        <w:spacing w:after="0"/>
      </w:pPr>
      <w:r>
        <w:rPr>
          <w:b/>
          <w:bCs/>
          <w:color w:val="1F3864"/>
          <w:sz w:val="56"/>
          <w:szCs w:val="56"/>
        </w:rPr>
        <w:t xml:space="preserve">Processing Agent</w:t>
      </w:r>
    </w:p>
    <w:p>
      <w:pPr>
        <w:spacing w:after="0" w:before="200"/>
      </w:pPr>
      <w:r>
        <w:rPr>
          <w:color w:val="595959"/>
          <w:sz w:val="30"/>
          <w:szCs w:val="30"/>
        </w:rPr>
        <w:t xml:space="preserve">Solution Design Document</w:t>
      </w:r>
    </w:p>
    <w:p>
      <w:pPr>
        <w:spacing w:after="0" w:before="600"/>
      </w:pPr>
      <w:r>
        <w:rPr>
          <w:i/>
          <w:iCs/>
          <w:color w:val="595959"/>
          <w:sz w:val="22"/>
          <w:szCs w:val="22"/>
        </w:rPr>
        <w:t xml:space="preserve">Automated MSA obligation extraction and compliance checklist generation</w:t>
      </w:r>
    </w:p>
    <w:p>
      <w:pPr>
        <w:spacing w:after="0" w:before="1200"/>
      </w:pPr>
      <w:r>
        <w:rPr>
          <w:color w:val="595959"/>
          <w:sz w:val="20"/>
          <w:szCs w:val="20"/>
        </w:rPr>
        <w:t xml:space="preserve">Prepared by: Daniel Salas Castro — Lead Data Scientist</w:t>
      </w:r>
    </w:p>
    <w:p>
      <w:pPr>
        <w:spacing w:before="40"/>
      </w:pPr>
      <w:r>
        <w:rPr>
          <w:color w:val="595959"/>
          <w:sz w:val="20"/>
          <w:szCs w:val="20"/>
        </w:rPr>
        <w:t xml:space="preserve">Use case sponsor: Commercial Real Estate (CRE)</w:t>
      </w:r>
    </w:p>
    <w:p>
      <w:pPr>
        <w:spacing w:before="40"/>
      </w:pPr>
      <w:r>
        <w:rPr>
          <w:color w:val="595959"/>
          <w:sz w:val="20"/>
          <w:szCs w:val="20"/>
        </w:rPr>
        <w:t xml:space="preserve">Version 1.0  ·  June 22–24,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JLL's Commercial Real Estate (CRE) teams manage client relationships governed by Master Service Agreements (MSAs) that can run from a few dozen to over 2,000 pages. These contracts embed hundreds of binding obligations — payment terms, insurance thresholds, service-level commitments, reporting cadences, notice windows, and renewal triggers — scattered across the body, schedules, and exhibits.</w:t>
      </w:r>
    </w:p>
    <w:p>
      <w:pPr>
        <w:spacing w:after="120" w:line="276"/>
      </w:pPr>
      <w:r>
        <w:t xml:space="preserve">Today these obligations are reviewed manually. The volume and density make oversights inevitable, and missed obligations translate directly into financial exposure: penalties, clawbacks, and disputed service-level credits that, in aggregate, reach into the millions of dollars annually.</w:t>
      </w:r>
    </w:p>
    <w:p>
      <w:pPr>
        <w:spacing w:after="120" w:line="276"/>
      </w:pPr>
      <w:r>
        <w:t xml:space="preserve">The Intelligent Document Processing (IDP) Agent automates the read-and-extract step. It ingests an MSA, decomposes it into structured clauses, uses a large language model to extract every obligation into a normalized schema, and produces a </w:t>
      </w:r>
      <w:r>
        <w:rPr>
          <w:b/>
          <w:bCs/>
        </w:rPr>
        <w:t xml:space="preserve">categorized, source-linked compliance checklist</w:t>
      </w:r>
      <w:r>
        <w:t xml:space="preserve"> that the CRE team can action immediately. Every extracted item carries a citation to its originating clause and page, so a human reviewer verifies in seconds rather than reading the full contract.</w:t>
      </w:r>
    </w:p>
    <w:p>
      <w:pPr>
        <w:spacing w:after="120" w:line="276"/>
      </w:pPr>
      <w:r>
        <w:rPr>
          <w:b/>
          <w:bCs/>
          <w:color w:val="C55A11"/>
        </w:rPr>
        <w:t xml:space="preserve">Hackathon objective. </w:t>
      </w:r>
      <w:r>
        <w:t xml:space="preserve">Deliver a working end-to-end prototype that processes a representative MSA, demonstrates accurate obligation extraction with full traceability, and presents a credible path to production scale. The prototype proves the workflow; the architecture proves it scales.</w:t>
      </w:r>
    </w:p>
    <w:p>
      <w:pPr>
        <w:pStyle w:val="Heading1"/>
      </w:pPr>
      <w:r>
        <w:t xml:space="preserve">2. Problem Statement &amp; Business Case</w:t>
      </w:r>
    </w:p>
    <w:p>
      <w:pPr>
        <w:pStyle w:val="Heading2"/>
      </w:pPr>
      <w:r>
        <w:t xml:space="preserve">2.1 Current state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Analysts read MSAs manually, clause by clause, to identify obligations and build tracking checklists by hand.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Obligations live in inconsistent locations — main body, numbered schedules, appended exhibits, and amendment riders — with no standard structure across clients.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Length is client-driven and unbounded; a single contract can exceed 2,000 pages, far beyond what any reviewer can hold in working memory.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There is no systematic, repeatable record linking each tracked obligation back to its exact contractual source.</w:t>
      </w:r>
    </w:p>
    <w:p>
      <w:pPr>
        <w:pStyle w:val="Heading2"/>
      </w:pPr>
      <w:r>
        <w:t xml:space="preserve">2.2 Cost of the problem</w:t>
      </w:r>
    </w:p>
    <w:p>
      <w:pPr>
        <w:spacing w:after="120" w:line="276"/>
      </w:pPr>
      <w:r>
        <w:t xml:space="preserve">Overlooked obligations surface as penalties for missed deadlines, failure to maintain required insurance coverage, missed reporting commitments, and service-level credits owed to clients. JLL estimates aggregate annual exposure from these oversights in the millions of dollars. The root cause is not analyst capability — it is the mismatch between document volume and manual processing capacity.</w:t>
      </w:r>
    </w:p>
    <w:p>
      <w:pPr>
        <w:pStyle w:val="Heading2"/>
      </w:pPr>
      <w:r>
        <w:t xml:space="preserve">2.3 Target state</w:t>
      </w:r>
    </w:p>
    <w:p>
      <w:pPr>
        <w:spacing w:after="120" w:line="276"/>
      </w:pPr>
      <w:r>
        <w:t xml:space="preserve">An analyst uploads an MSA and, within minutes, receives a complete obligation register: every requirement categorized, assigned to a responsible party, dated or scheduled, flagged for penalty severity, and </w:t>
      </w:r>
      <w:r>
        <w:rPr>
          <w:b/>
          <w:bCs/>
        </w:rPr>
        <w:t xml:space="preserve">linked to its source clause</w:t>
      </w:r>
      <w:r>
        <w:t xml:space="preserve">. The analyst's role shifts from exhaustive reading to high-value verification and exception handling.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 — hackathon MVP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Ingestion of a single MSA in PDF format (text-based and scanned).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Structure-aware parsing into clauses with section identifiers and page references.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LLM-based extraction of obligations into a normalized JSON schema.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Deduplication and normalization into a unified obligation register.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Generation of a categorized compliance checklist with source citations and confidence scores.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Interactive web UI: upload, browse the checklist, filter by category, click an item to view its source clause.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Export of the checklist to Excel / Smartsheet-ready format.</w:t>
      </w:r>
    </w:p>
    <w:p>
      <w:pPr>
        <w:pStyle w:val="Heading2"/>
      </w:pPr>
      <w:r>
        <w:t xml:space="preserve">3.2 Out of scope — for the hackathon, deferred to production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Multi-document amendment reconciliation (tracking how riders modify the base MSA).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Live integration with downstream contract-management or ticketing systems beyond export.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Role-based access control, audit logging, and enterprise authentication.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Automated deadline reminders and workflow assignment.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Fine-tuned or custom-trained models; the MVP uses a general-purpose LLM via API.</w:t>
      </w:r>
    </w:p>
    <w:p>
      <w:pPr>
        <w:spacing w:after="120" w:line="276"/>
      </w:pPr>
      <w:r>
        <w:rPr>
          <w:b/>
          <w:bCs/>
        </w:rPr>
        <w:t xml:space="preserve">Demonstration approach. </w:t>
      </w:r>
      <w:r>
        <w:t xml:space="preserve">The MVP runs end-to-end on a representative sample MSA. Full 2,000-page throughput is validated by architecture and cost modeling rather than processed live during judging — the pipeline is identical; only the input size differs.</w:t>
      </w:r>
    </w:p>
    <w:p>
      <w:pPr>
        <w:pStyle w:val="Heading1"/>
      </w:pPr>
      <w:r>
        <w:t xml:space="preserve">4. Solution Architecture</w:t>
      </w:r>
    </w:p>
    <w:p>
      <w:pPr>
        <w:pStyle w:val="Heading2"/>
      </w:pPr>
      <w:r>
        <w:t xml:space="preserve">4.1 Design principle: map-reduce, not brute force</w:t>
      </w:r>
    </w:p>
    <w:p>
      <w:pPr>
        <w:spacing w:after="120" w:line="276"/>
      </w:pPr>
      <w:r>
        <w:t xml:space="preserve">A 2,000-page contract exceeds any model's context window, and naively retrieving "relevant" passages silently drops obligations — unacceptable when the cost of a miss is a penalty. The IDP Agent therefore uses a deterministic map-reduce pipeline: the document is decomposed into clause-level units (map), each unit is extracted independently and exhaustively, and the results are aggregated, deduplicated, and normalized (reduce). Every clause is processed; nothing is skipped by a relevance heuristic.</w:t>
      </w:r>
    </w:p>
    <w:p>
      <w:pPr>
        <w:pStyle w:val="Heading2"/>
      </w:pPr>
      <w:r>
        <w:t xml:space="preserve">4.2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100"/>
        <w:gridCol w:w="4400"/>
        <w:gridCol w:w="224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Technology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Ingestion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Accept the MSA, detect whether pages are text-based or scanned images, and standardize input.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PyMuPDF; Azure Document Intelligence / Falcon multimodal (OCR fallback)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Structure parsing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Recover the document hierarchy — Articles, Sections, Clauses, Schedules, Exhibits — with page numbers preserved.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PyMuPDF, heading/numbering heuristics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Clause chunking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Split into clause-level units, each tagged with section ID, heading, and page range. These tags become citations.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Custom chunker, tiktoken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Obligation extraction (map)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For each chunk, a model provider extracts every obligation into the structured schema, including a verbatim snippet.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Model-provider adapter (Claude sandbox → sanctioned endpoint), Pydantic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Reduction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Aggregate all extractions, deduplicate overlapping obligations, normalize categories and parties.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Python, fuzzy matching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Checklist generation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Group obligations into an actionable, prioritized checklist with source links and confidence.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Python, priority scoring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Presentation &amp; export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Serve the checklist in an interactive UI; export to Excel / Smartsheet.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Streamlit; openpyxl / Smartsheet API</w:t>
            </w:r>
          </w:p>
        </w:tc>
      </w:tr>
    </w:tbl>
    <w:p>
      <w:pPr>
        <w:pStyle w:val="Heading2"/>
      </w:pPr>
      <w:r>
        <w:t xml:space="preserve">4.3 Data flow</w:t>
      </w:r>
    </w:p>
    <w:p>
      <w:pPr>
        <w:spacing w:after="120" w:line="276"/>
      </w:pPr>
      <w:r>
        <w:rPr>
          <w:b/>
          <w:bCs/>
          <w:color w:val="1F3864"/>
        </w:rPr>
        <w:t xml:space="preserve">MSA (PDF)</w:t>
      </w:r>
      <w:r>
        <w:t xml:space="preserve">  →  Ingestion &amp; OCR check  →  Structure parsing  →  </w:t>
      </w:r>
      <w:r>
        <w:rPr>
          <w:b/>
          <w:bCs/>
          <w:color w:val="1F3864"/>
        </w:rPr>
        <w:t xml:space="preserve">Clause chunks + metadata</w:t>
      </w:r>
      <w:r>
        <w:t xml:space="preserve">  →  Per-clause LLM extraction  →  </w:t>
      </w:r>
      <w:r>
        <w:rPr>
          <w:b/>
          <w:bCs/>
          <w:color w:val="1F3864"/>
        </w:rPr>
        <w:t xml:space="preserve">Raw obligation records</w:t>
      </w:r>
      <w:r>
        <w:t xml:space="preserve">  →  Dedup &amp; normalize  →  Priority scoring  →  </w:t>
      </w:r>
      <w:r>
        <w:rPr>
          <w:b/>
          <w:bCs/>
          <w:color w:val="1F3864"/>
        </w:rPr>
        <w:t xml:space="preserve">Compliance checklist</w:t>
      </w:r>
      <w:r>
        <w:t xml:space="preserve">  →  UI + Excel/Smartsheet export.</w:t>
      </w:r>
    </w:p>
    <w:p>
      <w:pPr>
        <w:pStyle w:val="Heading2"/>
      </w:pPr>
      <w:r>
        <w:t xml:space="preserve">4.4 Traceability — the trust mechanism</w:t>
      </w:r>
    </w:p>
    <w:p>
      <w:pPr>
        <w:spacing w:after="120" w:line="276"/>
      </w:pPr>
      <w:r>
        <w:t xml:space="preserve">Every obligation record carries a </w:t>
      </w:r>
      <w:r>
        <w:rPr>
          <w:b/>
          <w:bCs/>
        </w:rPr>
        <w:t xml:space="preserve">source section reference, page range, and verbatim snippet</w:t>
      </w:r>
      <w:r>
        <w:t xml:space="preserve"> of the originating clause. This is the feature that overcomes the central adoption objection (“legal won't trust an AI summary”): the agent does not ask the team to trust the model, it triages roughly 95% of the reading and points a human directly to the clause behind each item. Verification takes seconds instead of hours.</w:t>
      </w:r>
    </w:p>
    <w:p>
      <w:pPr>
        <w:pStyle w:val="Heading1"/>
      </w:pPr>
      <w:r>
        <w:t xml:space="preserve">5. Obligation Data Model</w:t>
      </w:r>
    </w:p>
    <w:p>
      <w:pPr>
        <w:pStyle w:val="Heading2"/>
      </w:pPr>
      <w:r>
        <w:t xml:space="preserve">5.1 Obligation taxonomy</w:t>
      </w:r>
    </w:p>
    <w:p>
      <w:pPr>
        <w:spacing w:after="120" w:line="276"/>
      </w:pPr>
      <w:r>
        <w:t xml:space="preserve">Every extracted obligation is classified into one of the following categories. The taxonomy is the shared vocabulary between the extraction model, the checklist, and the CRE reviewers.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Payment terms, fees, rent and escalations, invoicing schedules, late-payment interest, clawbacks.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Insurance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Required coverage types and limits, certificates of insurance, additional-insured and renewal requirements.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Periodic reports, KPI submissions, disclosures, audit rights and audit support obligations.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Service Level (SLA)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Performance targets, response and resolution times, uptime/availability, service credits.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Compliance &amp; Regulatory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Legal, regulatory, licensing, health-and-safety, and data-protection obligations.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Notice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Required notices and notice periods — renewal, termination, breach, change-of-control.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Term &amp; Renewal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Contract term, auto-renewal triggers, extension options, expiration handling.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Termination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Termination rights, cure periods, wind-down and transition obligations.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Indemnity &amp; Liability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Indemnification duties, liability caps, limitation-of-liability conditions.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Confidentiality &amp; Data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Confidentiality duties, data handling, security standards, breach notification.</w:t>
            </w:r>
          </w:p>
        </w:tc>
      </w:tr>
    </w:tbl>
    <w:p>
      <w:pPr>
        <w:pStyle w:val="Heading2"/>
      </w:pPr>
      <w:r>
        <w:t xml:space="preserve">5.2 Extraction schema</w:t>
      </w:r>
    </w:p>
    <w:p>
      <w:pPr>
        <w:spacing w:after="120" w:line="276"/>
      </w:pPr>
      <w:r>
        <w:t xml:space="preserve">Each obligation is extracted into the following structured record (implemented as a Pydantic model to enforce validation on the model's JSON output):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obligation_id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Unique identifier assigned during reduction.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Plain-language statement of what must be done.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One of the taxonomy categories in 5.1.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responsible_party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JLL · Client · Vendor · Both — who must perform the obligation.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trigger_type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Specific date · Recurring · Event-driven · Conditional.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deadline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date | null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Absolute due date, where the clause specifies one.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Cadence for recurring obligations (e.g., monthly, quarterly).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penalty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Consequence of non-compliance, with amount where stated.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source_section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Section/clause identifier (e.g., § 8.3, Schedule C).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source_page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Page or page range in the source document.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verbatim_snippet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Exact contract text supporting the extraction.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Model confidence 0.0–1.0; low scores are flagged for review.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Derived: High · Medium · Low (see 5.3).</w:t>
            </w:r>
          </w:p>
        </w:tc>
      </w:tr>
    </w:tbl>
    <w:p>
      <w:pPr>
        <w:pStyle w:val="Heading2"/>
      </w:pPr>
      <w:r>
        <w:t xml:space="preserve">5.3 Priority scoring</w:t>
      </w:r>
    </w:p>
    <w:p>
      <w:pPr>
        <w:spacing w:after="120" w:line="276"/>
      </w:pPr>
      <w:r>
        <w:t xml:space="preserve">Priority is derived, not extracted, so the analyst sees the riskiest items first. It combines penalty severity (is there a financial consequence, and how large?) with deadline proximity (how soon is it due, or how frequent?). An obligation with a quantified penalty and an imminent deadline scores High; an informational item with no penalty scores Low.</w:t>
      </w:r>
    </w:p>
    <w:p>
      <w:pPr>
        <w:pStyle w:val="Heading1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Python 3.11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Fastest path for the data-science build; rich PDF and ML ecosystem.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PDF parsing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PyMuPDF (fitz)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Fast, accurate text + layout extraction with page coordinates.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OCR fallback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Azure Document Intelligence / Falcon multimodal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Sanctioned OCR for scanned/image pages. (AWS Textract is not a JLL-sanctioned environment and is not used.)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LLM extraction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Provider adapter: Claude (sandbox) → JLL Falcon (production)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One swappable seam. Build/validate on sponsored Claude with synthetic contracts; production routes to a sanctioned, data-cleared endpoint.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Pydantic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Enforces the extraction schema; rejects malformed model output.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Streamlit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Clickable demo in hours; ideal for a hackathon presentation.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Export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openpyxl / Smartsheet API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Drops obligations directly into the tools CRE already uses.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Python (async batching)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Parallelizes per-clause extraction calls to control runtime.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Why export matters. </w:t>
      </w:r>
      <w:r>
        <w:t xml:space="preserve">The CRE team already lives in checklists and Smartsheet. Delivering obligations straight into that workflow — rather than a standalone report — is the concrete “usable Monday morning” moment that distinguishes a prototype from a demo.</w:t>
      </w:r>
    </w:p>
    <w:p>
      <w:pPr>
        <w:pStyle w:val="Heading2"/>
      </w:pPr>
      <w:r>
        <w:t xml:space="preserve">6.1 Sanctioned environments &amp; data governance</w:t>
      </w:r>
    </w:p>
    <w:p>
      <w:pPr>
        <w:spacing w:after="120" w:line="276"/>
      </w:pPr>
      <w:r>
        <w:t xml:space="preserve">The solution is designed to live entirely within JLL-sanctioned environments. For a tool that processes confidential client MSAs, the data-governance boundary is a primary design constraint, not an afterthought.</w:t>
      </w:r>
    </w:p>
    <w:p>
      <w:pPr>
        <w:spacing w:after="120" w:line="276"/>
      </w:pPr>
      <w:r>
        <w:rPr>
          <w:b/>
          <w:bCs/>
          <w:color w:val="C55A11"/>
        </w:rPr>
        <w:t xml:space="preserve">Two-phase model strategy. </w:t>
      </w:r>
      <w:r>
        <w:t xml:space="preserve">The pipeline is built and validated during the hackathon on sponsored </w:t>
      </w:r>
      <w:r>
        <w:rPr>
          <w:b/>
          <w:bCs/>
        </w:rPr>
        <w:t xml:space="preserve">Claude access, which is cleared for synthetic / sample contracts only</w:t>
      </w:r>
      <w:r>
        <w:t xml:space="preserve">. Real client MSAs must never be sent to the sandbox endpoint. In production, the identical pipeline routes to a </w:t>
      </w:r>
      <w:r>
        <w:rPr>
          <w:b/>
          <w:bCs/>
        </w:rPr>
        <w:t xml:space="preserve">JLL-sanctioned, data-cleared endpoint (JLL Falcon)</w:t>
      </w:r>
      <w:r>
        <w:t xml:space="preserve">, so real contracts remain inside JLL's governed security and privacy envelope.</w:t>
      </w:r>
    </w:p>
    <w:p>
      <w:pPr>
        <w:spacing w:after="120" w:line="276"/>
      </w:pPr>
      <w:r>
        <w:rPr>
          <w:b/>
          <w:bCs/>
        </w:rPr>
        <w:t xml:space="preserve">One swappable seam. </w:t>
      </w:r>
      <w:r>
        <w:t xml:space="preserve">The model call is isolated behind a provider adapter. Everything else — parsing, chunking, the obligation schema, deduplication, the checklist, the UI, and export — is endpoint-agnostic and unchanged between sandbox and production. Moving from Claude (sandbox) to Falcon (production) is a single adapter implementation, not a rewrite. A built-in governance guard refuses to send real-client-flagged text to any endpoint not cleared for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this solution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JLL Falcon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Sanctioned home + production inference endpoint.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JLL's CRE AI platform (Azure/Databricks); built for extracting and analyzing complex data, with security/privacy controls. Cleared for real client data.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Claude (sponsored)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Build &amp; demo model during the hackathon.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Sandbox only — synthetic/sample contracts. Strong structured-output reliability for the extraction schema.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JLL GPT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Optional conversational front end.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Assistant layer on Falcon; suited to interactive Q&amp;A rather than hundreds of batch per-clause extraction calls.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Note: </w:t>
      </w:r>
      <w:r>
        <w:t xml:space="preserve">AWS services (including Textract) are not JLL-sanctioned environments and are not used. OCR for scanned pages routes to Azure Document Intelligence or Falcon’s multimodal models.</w:t>
      </w:r>
    </w:p>
    <w:p>
      <w:pPr>
        <w:pStyle w:val="Heading1"/>
      </w:pPr>
      <w:r>
        <w:t xml:space="preserve">7. Implementation Plan (3 Days)</w:t>
      </w:r>
    </w:p>
    <w:p>
      <w:pPr>
        <w:pStyle w:val="Heading2"/>
      </w:pPr>
      <w:r>
        <w:t xml:space="preserve">7.1 Day 1 — June 22: Foundation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Lock scope and secure a representative sample MSA.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Finalize the obligation taxonomy and extraction schema (Sales + BA own the taxonomy review).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ingestion + structure parsing + clause chunking.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Draft and tune the extraction prompt against a handful of clauses until JSON output is clean and complete.</w:t>
      </w:r>
    </w:p>
    <w:p>
      <w:pPr>
        <w:pStyle w:val="Heading2"/>
      </w:pPr>
      <w:r>
        <w:t xml:space="preserve">7.2 Day 2 — June 23: End-to-end pipeline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Run extraction across the full sample MSA; implement reduction, deduplication, and priority scoring.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the Streamlit UI: upload → categorized checklist → filter → click-through to source clause.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Add Excel / Smartsheet export.</w:t>
      </w:r>
    </w:p>
    <w:p>
      <w:pPr>
        <w:pStyle w:val="Heading2"/>
      </w:pPr>
      <w:r>
        <w:t xml:space="preserve">7.3 Day 3 — June 24: Polish &amp; present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Harden the happy path; handle the obvious failure modes gracefully.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Pre-cache demo results so a live API hiccup cannot derail the presentation.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Rehearse the demo; Sales + BA finalize the ROI narrative and pitch deck.</w:t>
      </w:r>
    </w:p>
    <w:p>
      <w:pPr>
        <w:pStyle w:val="Heading2"/>
      </w:pPr>
      <w:r>
        <w:t xml:space="preserve">7.4 Role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Lead Data Scientist (Daniel)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Architecture, the full pipeline build, extraction prompt, UI, export, demo engineering.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Sales Business Analyst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Obligation taxonomy validation, sample-document sourcing, checklist usability review, test verification.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Sales Expert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Business case and ROI model, penalty-exposure framing, pitch narrative and delivery.</w:t>
            </w:r>
          </w:p>
        </w:tc>
      </w:tr>
    </w:tbl>
    <w:p>
      <w:pPr>
        <w:pStyle w:val="Heading1"/>
      </w:pPr>
      <w:r>
        <w:t xml:space="preserve">8. Testing &amp; Validation</w:t>
      </w:r>
    </w:p>
    <w:p>
      <w:pPr>
        <w:pStyle w:val="Heading2"/>
      </w:pPr>
      <w:r>
        <w:t xml:space="preserve">8.1 Validation strategy</w:t>
      </w:r>
    </w:p>
    <w:p>
      <w:pPr>
        <w:spacing w:after="120" w:line="276"/>
      </w:pPr>
      <w:r>
        <w:t xml:space="preserve">Because the cost of a missed obligation is high, the prototype is evaluated on recall first (did we catch every obligation?) and precision second (are the ones we caught correct?). A human-built “gold” obligation list for the sample MSA serves as ground truth.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answers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Recall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Of all true obligations in the sample, what fraction did the agent extract? (Primary metric.)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Precision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Of all items the agent extracted, what fraction are genuine obligations? (Controls false positives.)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Citation accuracy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Does each item's source reference and snippet actually point to the correct clause?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Category accuracy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Are obligations assigned to the correct taxonomy category?</w:t>
            </w:r>
          </w:p>
        </w:tc>
      </w:tr>
    </w:tbl>
    <w:p>
      <w:pPr>
        <w:pStyle w:val="Heading2"/>
      </w:pPr>
      <w:r>
        <w:t xml:space="preserve">8.2 Test approach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a gold-standard obligation list for the sample MSA by manual review (BA-led).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Run the pipeline and compare extracted obligations against the gold list to compute recall and precision.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Spot-check citation accuracy by clicking through a random sample of items to their source clauses.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Confirm low-confidence items are correctly surfaced for human review.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Validate that the exported file opens cleanly and maps to the CRE checklist format.</w:t>
      </w:r>
    </w:p>
    <w:p>
      <w:pPr>
        <w:pStyle w:val="Heading1"/>
      </w:pPr>
      <w:r>
        <w:t xml:space="preserve">9. Scaling &amp; Cost Model</w:t>
      </w:r>
    </w:p>
    <w:p>
      <w:pPr>
        <w:spacing w:after="120" w:line="276"/>
      </w:pPr>
      <w:r>
        <w:t xml:space="preserve">The MVP pipeline is size-agnostic — the same map-reduce flow that processes a 40-page sample processes a 2,000-page contract by running more clause-level extractions. The headline scaling numbers for the pitch: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 for a ~2,000-page MSA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Token volume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~1,000,000 tokens of contract text.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Extraction calls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 few hundred parallelized per-clause calls.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Processing time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Minutes per contract with async batching.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Direct API cost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 few dollars per contract.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Value against exposure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 few dollars of compute against millions in annual penalty exposure.</w:t>
            </w:r>
          </w:p>
        </w:tc>
      </w:tr>
    </w:tbl>
    <w:p>
      <w:pPr>
        <w:spacing w:after="120" w:line="276"/>
      </w:pPr>
      <w:r>
        <w:rPr>
          <w:b/>
          <w:bCs/>
          <w:color w:val="C55A11"/>
        </w:rPr>
        <w:t xml:space="preserve">The headline. </w:t>
      </w:r>
      <w:r>
        <w:t xml:space="preserve">A few dollars and a few minutes of compute, set against millions of dollars in avoidable annual penalties. That ratio is the business case.</w:t>
      </w:r>
    </w:p>
    <w:p>
      <w:pPr>
        <w:pStyle w:val="Heading1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6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Live API failure during the demo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Pre-cache demo results; demo runs from cache, with a live run as the optional encore.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Extraction misses obligations (low recall)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Exhaustive per-clause processing (no relevance filtering); confidence flags; human verification step.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Scanned / poorly formatted source MSA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Sanctioned OCR fallback (Azure Document Intelligence / Falcon multimodal); choose a clean text-based sample for the live demo.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Scope creep with limited team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Hard MVP boundary (Section 3); defer everything non-essential to the production roadmap.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Hallucinated obligations (false positives)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Low–Med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Require a verbatim source snippet for every item; unsupported extractions are discarded.</w:t>
            </w:r>
          </w:p>
        </w:tc>
      </w:tr>
    </w:tbl>
    <w:p>
      <w:pPr>
        <w:pStyle w:val="Heading1"/>
      </w:pPr>
      <w:r>
        <w:t xml:space="preserve">11. Production Roadmap (Post-Hackathon)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Amendment &amp; rider reconciliation across multiple linked documents.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Integration with JLL's contract-management and ticketing systems for automated assignment.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Automated deadline reminders and obligation-tracking dashboards.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Enterprise hardening: authentication, role-based access, audit logging, data residency.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Continuous accuracy improvement via reviewer feedback loops and, where justified, domain-tuned models.</w:t>
      </w:r>
    </w:p>
    <w:p>
      <w:pPr>
        <w:pStyle w:val="Heading1"/>
      </w:pPr>
      <w: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MSA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Master Service Agreement — the governing contract between JLL and a client.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Commercial Real Estate — the JLL team responsible for MSA compliance.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IDP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Intelligent Document Processing — this solution.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Obligation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 binding requirement in the contract that a party must perform or satisfy.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Map-reduce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 pattern that processes a large input in independent pieces (map), then aggregates results (reduce).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Recall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The share of true obligations the system successfully extracts.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OCR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Optical Character Recognition — converting scanned page images into machine-readable text.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JLL Hackathon 2026 ·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Intelligent Document Processing Agent</w:t>
    </w:r>
    <w:r>
      <w:rPr>
        <w:color w:val="595959"/>
        <w:sz w:val="16"/>
        <w:szCs w:val="16"/>
      </w:rPr>
      <w:t xml:space="preserve">	Solution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Document Processing Agent — Solution Design Document</dc:title>
  <dc:creator>Daniel Salas Castro</dc:creator>
  <cp:lastModifiedBy>Un-named</cp:lastModifiedBy>
  <cp:revision>1</cp:revision>
  <dcterms:created xsi:type="dcterms:W3CDTF">2026-06-21T16:39:12.407Z</dcterms:created>
  <dcterms:modified xsi:type="dcterms:W3CDTF">2026-06-21T16:39:12.421Z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