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3069" w:wrap="around"/>
      </w:pPr>
      <w:r>
        <w:rPr>
          <w:rFonts w:ascii="Batang" w:hAnsi="Batang" w:eastAsia="Batang"/>
          <w:sz w:val="14"/>
          <w:color w:val="000000"/>
        </w:rPr>
        <w:t>1) 김준환(2025), 「국내 벼 품종 등록수량 기반 획득가능 기대수량 추이와 수량차 분석」.</w:t>
      </w:r>
    </w:p>
    <w:p>
      <w:pPr>
        <w:autoSpaceDN w:val="0"/>
        <w:autoSpaceDE w:val="0"/>
        <w:widowControl/>
        <w:spacing w:line="190" w:lineRule="auto" w:before="0" w:after="0"/>
        <w:jc w:val="right"/>
        <w:framePr w:w="7823" w:hAnchor="page" w:vAnchor="page" w:x="1758" w:y="13879" w:wrap="around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jc w:val="left"/>
        <w:framePr w:w="7823" w:hAnchor="page" w:vAnchor="page" w:x="1531" w:y="13879" w:wrap="around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2) 이강산, “전남도, 쌀 수출 1100톤 달성 온 힘…마케팅·판촉 지원 나선다”, 한국농어민신문, 제3614호, 2024.9.6.</w:t>
      </w:r>
      <w:r>
        <w:rPr>
          <w:rFonts w:ascii="Batang" w:hAnsi="Batang" w:eastAsia="Batang"/>
          <w:sz w:val="14"/>
          <w:color w:val="000000"/>
        </w:rPr>
        <w:br/>
        <w:t>3) 운송 일정 및 통관 시점 등에 따라 양곡연도 기준 실제 도입 물량은 다를 수 있음.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tabs>
          <w:tab w:pos="1706" w:val="left"/>
        </w:tabs>
        <w:autoSpaceDE w:val="0"/>
        <w:widowControl/>
        <w:spacing w:line="196" w:before="0" w:after="0" w:lineRule="exact"/>
        <w:jc w:val="left"/>
        <w:framePr w:w="7800" w:hAnchor="page" w:vAnchor="page" w:x="1531" w:y="12089" w:wrap="around"/>
      </w:pPr>
      <w:r>
        <w:rPr>
          <w:rFonts w:ascii="Batang" w:hAnsi="Batang" w:eastAsia="Batang"/>
          <w:sz w:val="14"/>
          <w:color w:val="000000"/>
        </w:rPr>
        <w:t>4) 김상효 외(2024), 「양곡소비량조사 진단과 과제」에서는 잦은 표본 개편과 적은 표본 수, 외국인가구와 집단가구 미포함, 외식 소비량 추정 방식의 문제 등으로 ‘양곡소비량조사’ 통계의 신뢰성 확보에 한계가 있음을 지적하였음.</w:t>
      </w:r>
      <w:r>
        <w:rPr>
          <w:rFonts w:ascii="Batang" w:hAnsi="Batang" w:eastAsia="Batang"/>
          <w:sz w:val="14"/>
          <w:color w:val="000000"/>
        </w:rPr>
        <w:br/>
        <w:t>5) 김진년 외(2025), 「2025년산 쌀 수급 예측 고도화 연구」에서 머신러닝 기반 예측모형을 활용하여 2025년산 1인당 연간 쌀 소비량을 추정하였음. 머신러닝 기법이란, 과거 데이터를 학습해 새로운 데이터의 패턴을 찾아내는 방법으로 최근 수급 및 소비 예측 분야에서 활용도가 빠르게 증가하고 있음. 본 연구에서는 단일모형에 의존하지 않고, 복수의 모형을 결합한 앙상블(ensemble) 방식을 적용함으로써 통계적·방법론적 타당성을 확보하였음.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7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6) 엠브레인리서치 전국 패널 표본 1,000명 대상, 2025년 11월 10∼24일 조사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9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7) 2024년산 정부 매입량(가루쌀 제외한 공공비축 36만 톤 포함)은 2023년산(40만 톤) 대비 많은 62만 2천 톤</w:t>
      </w:r>
      <w:r>
        <w:rPr>
          <w:rFonts w:ascii="Batang" w:hAnsi="Batang" w:eastAsia="Batang"/>
          <w:sz w:val="14"/>
          <w:color w:val="000000"/>
        </w:rPr>
        <w:br/>
        <w:t>8) 평년은 최근 5개년(2020~2024년산) 정곡 비추정평균가격 중 최대, 최소 제외한 평균값임.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9) 전략작물 전환 계획면적과 감축 유형별(경관작물, 타작물, 농지이용, 친환경, 수출 등) 이행 가능 면적을 고려할 때, 2026년 벼 재배 감축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1. 쌀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17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autoSpaceDE w:val="0"/>
        <w:widowControl/>
        <w:spacing w:line="302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박미성 외(2024)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에 따르면, 1인 가구 증가와 핵가족화로 인해 식품 구매 시 편리성을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추구하는 소비자가 증가하는 추세이다. 편리성을 추구하면서 간편식 및 외식 비중 또한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증가하였고 전통 콩 식품(두부, 장류 등) 섭취가 줄어 1인당 콩 소비량 또한 감소하는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2676" w:wrap="around"/>
      </w:pPr>
      <w:r>
        <w:rPr>
          <w:rFonts w:ascii="Batang" w:hAnsi="Batang" w:eastAsia="Batang"/>
          <w:sz w:val="14"/>
          <w:color w:val="000000"/>
        </w:rPr>
        <w:t>1) 박미성, 임지은, 주준형, 이상림(2024). 「인구구조변화에 따른 식품시장 대응과제(1/2차년도)」. 한국농촌경제연구원</w:t>
      </w:r>
      <w:r>
        <w:rPr>
          <w:rFonts w:ascii="Batang" w:hAnsi="Batang" w:eastAsia="Batang"/>
          <w:sz w:val="14"/>
          <w:color w:val="000000"/>
        </w:rPr>
        <w:br/>
        <w:t>2) 2019~2023년 중 최대, 최소를 제외한 평균 소비량 비중이며, 콩나물은 제외한 수치임.</w:t>
      </w:r>
      <w:r>
        <w:rPr>
          <w:rFonts w:ascii="Batang" w:hAnsi="Batang" w:eastAsia="Batang"/>
          <w:sz w:val="14"/>
          <w:color w:val="000000"/>
        </w:rPr>
        <w:br/>
        <w:t>3) 농축수산물 원료와 가공 식품소재 원료를 모두 포함함.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18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19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21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2. 콩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27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28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autoSpaceDN w:val="0"/>
        <w:tabs>
          <w:tab w:pos="494" w:val="left"/>
        </w:tabs>
        <w:autoSpaceDE w:val="0"/>
        <w:widowControl/>
        <w:spacing w:line="196" w:before="0" w:after="0" w:lineRule="exact"/>
        <w:jc w:val="left"/>
        <w:framePr w:w="7800" w:hAnchor="page" w:vAnchor="page" w:x="1758" w:y="12872" w:wrap="around"/>
      </w:pPr>
      <w:r>
        <w:rPr>
          <w:rFonts w:ascii="Batang" w:hAnsi="Batang" w:eastAsia="Batang"/>
          <w:sz w:val="14"/>
          <w:color w:val="000000"/>
        </w:rPr>
        <w:t>4) 유찬희 외(2025), 「서류 산업 실태 분석과 정책과제」에서 소비자 대상 설문조사 결과를 일부 발췌하였음. 소비자 조사는 2025년 9월 3일부터 26일까지 소비자 1,000명을 대상으로 온라인 조사 수행하였음.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29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유찬희 외(2025). 「서류 산업 실태 분석과 정책과제」 보고서 재인용(p179~185)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autoSpaceDN w:val="0"/>
        <w:autoSpaceDE w:val="0"/>
        <w:widowControl/>
        <w:spacing w:line="196" w:before="0" w:after="0" w:lineRule="exact"/>
        <w:jc w:val="left"/>
        <w:framePr w:w="7800" w:hAnchor="page" w:vAnchor="page" w:x="1531" w:y="13069" w:wrap="around"/>
      </w:pPr>
      <w:r>
        <w:rPr>
          <w:rFonts w:ascii="Batang" w:hAnsi="Batang" w:eastAsia="Batang"/>
          <w:sz w:val="14"/>
          <w:color w:val="000000"/>
        </w:rPr>
        <w:t>5) 그 외 응답은 대서(3.9%), 두백(3.5%), 추백(1.3%), 조풍(0.8%), 기타(0.6%) 등임.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30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31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32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190" w:lineRule="auto" w:before="0" w:after="0"/>
        <w:ind w:left="0" w:right="153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3. 감자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33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34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35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autoSpaceDN w:val="0"/>
        <w:autoSpaceDE w:val="0"/>
        <w:widowControl/>
        <w:spacing w:line="190" w:lineRule="auto" w:before="0" w:after="0"/>
        <w:ind w:left="1530" w:right="0" w:firstLine="0"/>
        <w:jc w:val="left"/>
      </w:pPr>
      <w:r>
        <w:rPr>
          <w:rFonts w:ascii="TT2F429E8BtCID" w:hAnsi="TT2F429E8BtCID" w:eastAsia="TT2F429E8BtCID"/>
          <w:b w:val="0"/>
          <w:i w:val="0"/>
          <w:color w:val="717171"/>
          <w:sz w:val="18"/>
        </w:rPr>
        <w:t>36 |</w:t>
      </w:r>
      <w:r>
        <w:rPr>
          <w:rFonts w:ascii="TTB4A841D6tCID" w:hAnsi="TTB4A841D6tCID" w:eastAsia="TTB4A841D6tCID"/>
          <w:b w:val="0"/>
          <w:i w:val="0"/>
          <w:color w:val="717171"/>
          <w:sz w:val="15"/>
        </w:rPr>
        <w:t xml:space="preserve"> 제2장 국내곡물 수급 동향과 전망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p>
      <w:pPr>
        <w:autoSpaceDN w:val="0"/>
        <w:autoSpaceDE w:val="0"/>
        <w:widowControl/>
        <w:spacing w:line="190" w:lineRule="auto" w:before="0" w:after="0"/>
        <w:ind w:left="0" w:right="98" w:firstLine="0"/>
        <w:jc w:val="right"/>
      </w:pPr>
      <w:r>
        <w:rPr>
          <w:rFonts w:ascii="TTB4A841D6tCID" w:hAnsi="TTB4A841D6tCID" w:eastAsia="TTB4A841D6tCID"/>
          <w:b w:val="0"/>
          <w:i w:val="0"/>
          <w:color w:val="717171"/>
          <w:sz w:val="15"/>
        </w:rPr>
        <w:t>부록</w:t>
      </w:r>
      <w:r>
        <w:rPr>
          <w:rFonts w:ascii="TT2F429E8BtCID" w:hAnsi="TT2F429E8BtCID" w:eastAsia="TT2F429E8BtCID"/>
          <w:b w:val="0"/>
          <w:i w:val="0"/>
          <w:color w:val="717171"/>
          <w:sz w:val="18"/>
        </w:rPr>
        <w:t xml:space="preserve"> | 37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