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line="190" w:lineRule="auto"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245" w:lineRule="auto" w:before="0" w:after="0"/>
        <w:ind w:left="318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이강산, “전남도, 쌀 수출 1100톤 달성 온 힘…마케팅·판촉 지원 나선다”, 한국농어민신문, 제3614호, 2024.9.6.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245" w:lineRule="auto" w:before="0" w:after="0"/>
        <w:ind w:left="1530" w:right="1584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김상효 외(2024), 「양곡소비량조사 진단과 과제」에서는 잦은 표본 개편과 적은 표본 수, 외국인가구와 집단가구 미포함, 외식 소비량 추정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방식의 문제 등으로 ‘양곡소비량조사’ 통계의 신뢰성 확보에 한계가 있음을 지적하였음.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5) 김진년 외(2025), 「2025년산 쌀 수급 예측 고도화 연구」에서 머신러닝 기반 예측모형을 활용하여 2025년산 1인당 연간 쌀 소비량을 추정하였음. 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245" w:lineRule="auto" w:before="0" w:after="0"/>
        <w:ind w:left="318" w:right="14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7) 2024년산 정부 매입량(가루쌀 제외한 공공비축 36만 톤 포함)은 2023년산(40만 톤) 대비 많은 62만 2천 톤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9) 전략작물 전환 계획면적과 감축 유형별(경관작물, 타작물, 농지이용, 친환경, 수출 등) 이행 가능 면적을 고려할 때, 2026년 벼 재배 감축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line="190" w:lineRule="auto"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245" w:lineRule="auto" w:before="0" w:after="0"/>
        <w:ind w:left="1530" w:right="288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1) 박미성, 임지은, 주준형, 이상림(2024). 「인구구조변화에 따른 식품시장 대응과제(1/2차년도)」. 한국농촌경제연구원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2019~2023년 중 최대, 최소를 제외한 평균 소비량 비중이며, 콩나물은 제외한 수치임. 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134" w:lineRule="exact"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245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4) 유찬희 외(2025), 「서류 산업 실태 분석과 정책과제」에서 소비자 대상 설문조사 결과를 일부 발췌하였음. 소비자 조사는 2025년 9월 3일부터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line="190" w:lineRule="auto"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62798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27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190" w:lineRule="auto"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628352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2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line="190" w:lineRule="auto"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628352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2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