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제2030-09-01호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5E9"/>
            <w:tcBorders>
              <w:top w:val="single" w:sz="8" w:space="0" w:color="1B4332"/>
              <w:left w:val="single" w:sz="8" w:space="0" w:color="1B4332"/>
              <w:bottom w:val="single" w:sz="8" w:space="0" w:color="1B4332"/>
              <w:right w:val="single" w:sz="8" w:space="0" w:color="1B4332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사내 공지 및 회의 개최 안내 공식 공문</w:t>
            </w:r>
          </w:p>
          <w:p>
            <w:pPr>
              <w:spacing w:before="40"/>
              <w:jc w:val="center"/>
            </w:pPr>
            <w:r>
              <w:rPr>
                <w:b/>
                <w:color w:val="1B4332"/>
                <w:sz w:val="30"/>
              </w:rPr>
              <w:t>회사 공문 양식 (회의 안내)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각 부서장 귀하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[공지] 2026년 3분기 경영전략회의 개최 안내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[공지] 2026년 3분기 경영전략회의 개최 안내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E8F5E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E8F5E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E8F5E9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회사 공문 양식 (회의 안내)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경영전략기획실장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