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국가AI-2026-0424호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8F9"/>
            <w:tcBorders>
              <w:top w:val="single" w:sz="8" w:space="0" w:color="1B4965"/>
              <w:left w:val="single" w:sz="8" w:space="0" w:color="1B4965"/>
              <w:bottom w:val="single" w:sz="8" w:space="0" w:color="1B4965"/>
              <w:right w:val="single" w:sz="8" w:space="0" w:color="1B4965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AI시대 개방형 포맷 전환을 위한 협력·속도·실행 박차</w:t>
            </w:r>
          </w:p>
          <w:p>
            <w:pPr>
              <w:spacing w:before="40"/>
              <w:jc w:val="center"/>
            </w:pPr>
            <w:r>
              <w:rPr>
                <w:b/>
                <w:color w:val="1B4965"/>
                <w:sz w:val="30"/>
              </w:rPr>
              <w:t>국가AI전략위 개방형 HWPX 전환 표준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전 부처 및 대국민 보도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공공 문서 HWP 첨부 제한 및 개방형 HWPX 전면 전환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공공 문서 HWP 첨부 제한 및 개방형 HWPX 전면 전환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EEF8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EEF8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EEF8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국가AI전략위 개방형 HWPX 전환 표준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국가AI전략위원회·행정안전부·문화체육관광부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