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0534" w14:textId="469DCA0B" w:rsidR="00516CBF" w:rsidRDefault="00D3137A">
      <w:r>
        <w:t xml:space="preserve"> </w:t>
      </w:r>
      <w:r w:rsidR="00DB1831">
        <w:t>Phage-host time shift assay in liquid broth</w:t>
      </w:r>
    </w:p>
    <w:p w14:paraId="1D257719" w14:textId="107BC998" w:rsidR="00DB1831" w:rsidRDefault="002D6794">
      <w:r>
        <w:rPr>
          <w:noProof/>
        </w:rPr>
        <mc:AlternateContent>
          <mc:Choice Requires="wps">
            <w:drawing>
              <wp:anchor distT="0" distB="0" distL="114300" distR="114300" simplePos="0" relativeHeight="251659264" behindDoc="0" locked="0" layoutInCell="1" allowOverlap="1" wp14:anchorId="739C1C2B" wp14:editId="0EB32CF0">
                <wp:simplePos x="0" y="0"/>
                <wp:positionH relativeFrom="column">
                  <wp:posOffset>0</wp:posOffset>
                </wp:positionH>
                <wp:positionV relativeFrom="paragraph">
                  <wp:posOffset>671195</wp:posOffset>
                </wp:positionV>
                <wp:extent cx="5756275" cy="4285615"/>
                <wp:effectExtent l="0" t="0" r="15875" b="19685"/>
                <wp:wrapSquare wrapText="bothSides"/>
                <wp:docPr id="1" name="Text Box 1"/>
                <wp:cNvGraphicFramePr/>
                <a:graphic xmlns:a="http://schemas.openxmlformats.org/drawingml/2006/main">
                  <a:graphicData uri="http://schemas.microsoft.com/office/word/2010/wordprocessingShape">
                    <wps:wsp>
                      <wps:cNvSpPr txBox="1"/>
                      <wps:spPr>
                        <a:xfrm>
                          <a:off x="0" y="0"/>
                          <a:ext cx="5756275" cy="4285615"/>
                        </a:xfrm>
                        <a:prstGeom prst="rect">
                          <a:avLst/>
                        </a:prstGeom>
                        <a:noFill/>
                        <a:ln w="6350">
                          <a:solidFill>
                            <a:prstClr val="black"/>
                          </a:solidFill>
                        </a:ln>
                      </wps:spPr>
                      <wps:txbx>
                        <w:txbxContent>
                          <w:p w14:paraId="50B18F8E" w14:textId="4D201D74" w:rsidR="002D6794" w:rsidRPr="002D6794" w:rsidRDefault="002D6794">
                            <w:pPr>
                              <w:rPr>
                                <w:i/>
                                <w:iCs/>
                              </w:rPr>
                            </w:pPr>
                            <w:r w:rsidRPr="002D6794">
                              <w:rPr>
                                <w:i/>
                                <w:iCs/>
                              </w:rPr>
                              <w:t xml:space="preserve">Another measure of the performance of phage isolates was obtained by monitoring phage‐imposed reduction in bacterial growth rate (RBG). This assay was performed to obtain phage performance on susceptible bacteria only. Measures were made on 15 arbitrarily selected bacterial colonies of the 24 colonies used in the streaking assay and on the ancestral bacteria. Bacterial colonies were introduced in </w:t>
                            </w:r>
                            <w:proofErr w:type="spellStart"/>
                            <w:r w:rsidRPr="002D6794">
                              <w:rPr>
                                <w:i/>
                                <w:iCs/>
                              </w:rPr>
                              <w:t>microtitre</w:t>
                            </w:r>
                            <w:proofErr w:type="spellEnd"/>
                            <w:r w:rsidRPr="002D6794">
                              <w:rPr>
                                <w:i/>
                                <w:iCs/>
                              </w:rPr>
                              <w:t xml:space="preserve"> plates containing liquid KB medium at 5.8 × 10</w:t>
                            </w:r>
                            <w:r w:rsidRPr="002D6794">
                              <w:rPr>
                                <w:i/>
                                <w:iCs/>
                                <w:vertAlign w:val="superscript"/>
                              </w:rPr>
                              <w:t>7</w:t>
                            </w:r>
                            <w:r w:rsidRPr="002D6794">
                              <w:rPr>
                                <w:i/>
                                <w:iCs/>
                              </w:rPr>
                              <w:t>± 4.47 × 10</w:t>
                            </w:r>
                            <w:r w:rsidRPr="002D6794">
                              <w:rPr>
                                <w:i/>
                                <w:iCs/>
                                <w:vertAlign w:val="superscript"/>
                              </w:rPr>
                              <w:t>7</w:t>
                            </w:r>
                            <w:r w:rsidRPr="002D6794">
                              <w:rPr>
                                <w:i/>
                                <w:iCs/>
                              </w:rPr>
                              <w:t xml:space="preserve"> per mL, along with 3.44 × 10</w:t>
                            </w:r>
                            <w:r w:rsidRPr="002D6794">
                              <w:rPr>
                                <w:i/>
                                <w:iCs/>
                                <w:vertAlign w:val="superscript"/>
                              </w:rPr>
                              <w:t>7</w:t>
                            </w:r>
                            <w:r w:rsidRPr="002D6794">
                              <w:rPr>
                                <w:i/>
                                <w:iCs/>
                              </w:rPr>
                              <w:t xml:space="preserve"> phage particles or without phage (control). Absorbance at 630 nm was measured using a spectrophotometer (microplate reader EL 800, Bio‐Tek Instruments Inc., Winooski, VT) at t= 0 and then again after 20 h of static incubation at 28°C. The reduction in bacterial absorbance “RBG” induced by phage </w:t>
                            </w:r>
                            <w:proofErr w:type="spellStart"/>
                            <w:r w:rsidRPr="002D6794">
                              <w:rPr>
                                <w:i/>
                                <w:iCs/>
                              </w:rPr>
                              <w:t>i</w:t>
                            </w:r>
                            <w:proofErr w:type="spellEnd"/>
                            <w:r w:rsidRPr="002D6794">
                              <w:rPr>
                                <w:i/>
                                <w:iCs/>
                              </w:rPr>
                              <w:t xml:space="preserve"> on bacterial colony j, was calculated as </w:t>
                            </w:r>
                            <w:proofErr w:type="spellStart"/>
                            <w:r w:rsidRPr="002D6794">
                              <w:rPr>
                                <w:i/>
                                <w:iCs/>
                              </w:rPr>
                              <w:t>RBG</w:t>
                            </w:r>
                            <w:r w:rsidRPr="002D6794">
                              <w:rPr>
                                <w:i/>
                                <w:iCs/>
                                <w:vertAlign w:val="subscript"/>
                              </w:rPr>
                              <w:t>ij</w:t>
                            </w:r>
                            <w:proofErr w:type="spellEnd"/>
                            <w:r w:rsidRPr="002D6794">
                              <w:rPr>
                                <w:i/>
                                <w:iCs/>
                              </w:rPr>
                              <w:t>=[abs</w:t>
                            </w:r>
                            <w:r w:rsidRPr="002D6794">
                              <w:rPr>
                                <w:i/>
                                <w:iCs/>
                                <w:vertAlign w:val="subscript"/>
                              </w:rPr>
                              <w:t>630</w:t>
                            </w:r>
                            <w:r w:rsidRPr="002D6794">
                              <w:rPr>
                                <w:i/>
                                <w:iCs/>
                              </w:rPr>
                              <w:t>(t= 20) − abs</w:t>
                            </w:r>
                            <w:r w:rsidRPr="002D6794">
                              <w:rPr>
                                <w:i/>
                                <w:iCs/>
                                <w:vertAlign w:val="subscript"/>
                              </w:rPr>
                              <w:t>630</w:t>
                            </w:r>
                            <w:r w:rsidRPr="002D6794">
                              <w:rPr>
                                <w:i/>
                                <w:iCs/>
                              </w:rPr>
                              <w:t>(t= 0)]</w:t>
                            </w:r>
                            <w:proofErr w:type="spellStart"/>
                            <w:r w:rsidRPr="002D6794">
                              <w:rPr>
                                <w:i/>
                                <w:iCs/>
                                <w:vertAlign w:val="subscript"/>
                              </w:rPr>
                              <w:t>ij</w:t>
                            </w:r>
                            <w:proofErr w:type="spellEnd"/>
                            <w:r w:rsidRPr="002D6794">
                              <w:rPr>
                                <w:i/>
                                <w:iCs/>
                              </w:rPr>
                              <w:t>/[abs</w:t>
                            </w:r>
                            <w:r w:rsidRPr="002D6794">
                              <w:rPr>
                                <w:i/>
                                <w:iCs/>
                                <w:vertAlign w:val="subscript"/>
                              </w:rPr>
                              <w:t>630</w:t>
                            </w:r>
                            <w:r w:rsidRPr="002D6794">
                              <w:rPr>
                                <w:i/>
                                <w:iCs/>
                              </w:rPr>
                              <w:t>(t= 20) − abs</w:t>
                            </w:r>
                            <w:r w:rsidRPr="002D6794">
                              <w:rPr>
                                <w:i/>
                                <w:iCs/>
                                <w:vertAlign w:val="subscript"/>
                              </w:rPr>
                              <w:t>630</w:t>
                            </w:r>
                            <w:r w:rsidRPr="002D6794">
                              <w:rPr>
                                <w:i/>
                                <w:iCs/>
                              </w:rPr>
                              <w:t>(t= 0)]</w:t>
                            </w:r>
                            <w:proofErr w:type="spellStart"/>
                            <w:r w:rsidRPr="002D6794">
                              <w:rPr>
                                <w:i/>
                                <w:iCs/>
                                <w:vertAlign w:val="subscript"/>
                              </w:rPr>
                              <w:t>controlj</w:t>
                            </w:r>
                            <w:proofErr w:type="spellEnd"/>
                            <w:r w:rsidRPr="002D6794">
                              <w:rPr>
                                <w:i/>
                                <w:iCs/>
                              </w:rPr>
                              <w:t xml:space="preserve">. Each cross‐infection was performed in triplicate at the same time. </w:t>
                            </w:r>
                            <w:proofErr w:type="gramStart"/>
                            <w:r w:rsidRPr="002D6794">
                              <w:rPr>
                                <w:i/>
                                <w:iCs/>
                              </w:rPr>
                              <w:t>Thus</w:t>
                            </w:r>
                            <w:proofErr w:type="gramEnd"/>
                            <w:r w:rsidRPr="002D6794">
                              <w:rPr>
                                <w:i/>
                                <w:iCs/>
                              </w:rPr>
                              <w:t xml:space="preserve"> only data corresponding to </w:t>
                            </w:r>
                            <w:proofErr w:type="spellStart"/>
                            <w:r w:rsidRPr="002D6794">
                              <w:rPr>
                                <w:i/>
                                <w:iCs/>
                              </w:rPr>
                              <w:t>RBG</w:t>
                            </w:r>
                            <w:r w:rsidRPr="002D6794">
                              <w:rPr>
                                <w:i/>
                                <w:iCs/>
                                <w:vertAlign w:val="subscript"/>
                              </w:rPr>
                              <w:t>ij</w:t>
                            </w:r>
                            <w:proofErr w:type="spellEnd"/>
                            <w:r w:rsidRPr="002D6794">
                              <w:rPr>
                                <w:i/>
                                <w:iCs/>
                              </w:rPr>
                              <w:t xml:space="preserve"> &lt; 0.95 were considered in the analyses (positive infection). Data are presented as 1 – </w:t>
                            </w:r>
                            <w:proofErr w:type="spellStart"/>
                            <w:r w:rsidRPr="002D6794">
                              <w:rPr>
                                <w:i/>
                                <w:iCs/>
                              </w:rPr>
                              <w:t>RBG</w:t>
                            </w:r>
                            <w:r w:rsidRPr="002D6794">
                              <w:rPr>
                                <w:i/>
                                <w:iCs/>
                                <w:vertAlign w:val="subscript"/>
                              </w:rPr>
                              <w:t>i</w:t>
                            </w:r>
                            <w:proofErr w:type="spellEnd"/>
                            <w:r w:rsidRPr="002D6794">
                              <w:rPr>
                                <w:i/>
                                <w:iCs/>
                              </w:rPr>
                              <w:t xml:space="preserve"> for more clarity. At the end of the assay, we detected a significant edge effect of the microtiter plates (see also </w:t>
                            </w:r>
                            <w:hyperlink r:id="rId5" w:anchor="b44" w:history="1">
                              <w:r w:rsidRPr="002D6794">
                                <w:rPr>
                                  <w:rStyle w:val="Hyperlink"/>
                                  <w:i/>
                                  <w:iCs/>
                                </w:rPr>
                                <w:t>Oliver et al. 1989</w:t>
                              </w:r>
                            </w:hyperlink>
                            <w:r w:rsidRPr="002D6794">
                              <w:rPr>
                                <w:i/>
                                <w:iCs/>
                              </w:rPr>
                              <w:t xml:space="preserve">; </w:t>
                            </w:r>
                            <w:hyperlink r:id="rId6" w:anchor="b32" w:history="1">
                              <w:r w:rsidRPr="002D6794">
                                <w:rPr>
                                  <w:rStyle w:val="Hyperlink"/>
                                  <w:i/>
                                  <w:iCs/>
                                </w:rPr>
                                <w:t>Johnsen et al. 2002</w:t>
                              </w:r>
                            </w:hyperlink>
                            <w:r w:rsidRPr="002D6794">
                              <w:rPr>
                                <w:i/>
                                <w:iCs/>
                              </w:rPr>
                              <w:t xml:space="preserve">). Therefore, the analysis was performed using 20 central clones instead of 24. Note that starting densities of coevolved phage were assessed on the ancestral bacteria. If a trade‐off exists between infectivity range and the probability of infecting the ancestral bacteria, starting phage densities may be underestimated, which in turn will underestimate the cost. This assay was also used to investigate the pattern of specialization in RBG at the population level by averaging the </w:t>
                            </w:r>
                            <w:proofErr w:type="spellStart"/>
                            <w:r w:rsidRPr="002D6794">
                              <w:rPr>
                                <w:i/>
                                <w:iCs/>
                              </w:rPr>
                              <w:t>RBG</w:t>
                            </w:r>
                            <w:r w:rsidRPr="002D6794">
                              <w:rPr>
                                <w:i/>
                                <w:iCs/>
                                <w:vertAlign w:val="subscript"/>
                              </w:rPr>
                              <w:t>i</w:t>
                            </w:r>
                            <w:proofErr w:type="spellEnd"/>
                            <w:r w:rsidRPr="002D6794">
                              <w:rPr>
                                <w:i/>
                                <w:iCs/>
                              </w:rPr>
                              <w:t xml:space="preserve"> of evolved and coevolved phage isolates on the coevolved susceptible and ancestral bacteria.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C1C2B" id="_x0000_t202" coordsize="21600,21600" o:spt="202" path="m,l,21600r21600,l21600,xe">
                <v:stroke joinstyle="miter"/>
                <v:path gradientshapeok="t" o:connecttype="rect"/>
              </v:shapetype>
              <v:shape id="Text Box 1" o:spid="_x0000_s1026" type="#_x0000_t202" style="position:absolute;margin-left:0;margin-top:52.85pt;width:453.25pt;height:3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" filled="f" strokeweight=".5pt">
                <v:fill o:detectmouseclick="t"/>
                <v:textbox>
                  <w:txbxContent>
                    <w:p w14:paraId="50B18F8E" w14:textId="4D201D74" w:rsidR="002D6794" w:rsidRPr="002D6794" w:rsidRDefault="002D6794">
                      <w:pPr>
                        <w:rPr>
                          <w:i/>
                          <w:iCs/>
                        </w:rPr>
                      </w:pPr>
                      <w:r w:rsidRPr="002D6794">
                        <w:rPr>
                          <w:i/>
                          <w:iCs/>
                        </w:rPr>
                        <w:t xml:space="preserve">Another measure of the performance of phage isolates was obtained by monitoring phage‐imposed reduction in bacterial growth rate (RBG). This assay was performed to obtain phage performance on susceptible bacteria only. Measures were made on 15 arbitrarily selected bacterial colonies of the 24 colonies used in the streaking assay and on the ancestral bacteria. Bacterial colonies were introduced in </w:t>
                      </w:r>
                      <w:proofErr w:type="spellStart"/>
                      <w:r w:rsidRPr="002D6794">
                        <w:rPr>
                          <w:i/>
                          <w:iCs/>
                        </w:rPr>
                        <w:t>microtitre</w:t>
                      </w:r>
                      <w:proofErr w:type="spellEnd"/>
                      <w:r w:rsidRPr="002D6794">
                        <w:rPr>
                          <w:i/>
                          <w:iCs/>
                        </w:rPr>
                        <w:t xml:space="preserve"> plates containing liquid KB medium at 5.8 × 10</w:t>
                      </w:r>
                      <w:r w:rsidRPr="002D6794">
                        <w:rPr>
                          <w:i/>
                          <w:iCs/>
                          <w:vertAlign w:val="superscript"/>
                        </w:rPr>
                        <w:t>7</w:t>
                      </w:r>
                      <w:r w:rsidRPr="002D6794">
                        <w:rPr>
                          <w:i/>
                          <w:iCs/>
                        </w:rPr>
                        <w:t>± 4.47 × 10</w:t>
                      </w:r>
                      <w:r w:rsidRPr="002D6794">
                        <w:rPr>
                          <w:i/>
                          <w:iCs/>
                          <w:vertAlign w:val="superscript"/>
                        </w:rPr>
                        <w:t>7</w:t>
                      </w:r>
                      <w:r w:rsidRPr="002D6794">
                        <w:rPr>
                          <w:i/>
                          <w:iCs/>
                        </w:rPr>
                        <w:t xml:space="preserve"> per mL, along with 3.44 × 10</w:t>
                      </w:r>
                      <w:r w:rsidRPr="002D6794">
                        <w:rPr>
                          <w:i/>
                          <w:iCs/>
                          <w:vertAlign w:val="superscript"/>
                        </w:rPr>
                        <w:t>7</w:t>
                      </w:r>
                      <w:r w:rsidRPr="002D6794">
                        <w:rPr>
                          <w:i/>
                          <w:iCs/>
                        </w:rPr>
                        <w:t xml:space="preserve"> phage particles or without phage (control). Absorbance at 630 nm was measured using a spectrophotometer (microplate reader EL 800, Bio‐Tek Instruments Inc., Winooski, VT) at t= 0 and then again after 20 h of static incubation at 28°C. The reduction in bacterial absorbance “RBG” induced by phage </w:t>
                      </w:r>
                      <w:proofErr w:type="spellStart"/>
                      <w:r w:rsidRPr="002D6794">
                        <w:rPr>
                          <w:i/>
                          <w:iCs/>
                        </w:rPr>
                        <w:t>i</w:t>
                      </w:r>
                      <w:proofErr w:type="spellEnd"/>
                      <w:r w:rsidRPr="002D6794">
                        <w:rPr>
                          <w:i/>
                          <w:iCs/>
                        </w:rPr>
                        <w:t xml:space="preserve"> on bacterial colony j, was calculated as </w:t>
                      </w:r>
                      <w:proofErr w:type="spellStart"/>
                      <w:r w:rsidRPr="002D6794">
                        <w:rPr>
                          <w:i/>
                          <w:iCs/>
                        </w:rPr>
                        <w:t>RBG</w:t>
                      </w:r>
                      <w:r w:rsidRPr="002D6794">
                        <w:rPr>
                          <w:i/>
                          <w:iCs/>
                          <w:vertAlign w:val="subscript"/>
                        </w:rPr>
                        <w:t>ij</w:t>
                      </w:r>
                      <w:proofErr w:type="spellEnd"/>
                      <w:r w:rsidRPr="002D6794">
                        <w:rPr>
                          <w:i/>
                          <w:iCs/>
                        </w:rPr>
                        <w:t>=[abs</w:t>
                      </w:r>
                      <w:r w:rsidRPr="002D6794">
                        <w:rPr>
                          <w:i/>
                          <w:iCs/>
                          <w:vertAlign w:val="subscript"/>
                        </w:rPr>
                        <w:t>630</w:t>
                      </w:r>
                      <w:r w:rsidRPr="002D6794">
                        <w:rPr>
                          <w:i/>
                          <w:iCs/>
                        </w:rPr>
                        <w:t>(t= 20) − abs</w:t>
                      </w:r>
                      <w:r w:rsidRPr="002D6794">
                        <w:rPr>
                          <w:i/>
                          <w:iCs/>
                          <w:vertAlign w:val="subscript"/>
                        </w:rPr>
                        <w:t>630</w:t>
                      </w:r>
                      <w:r w:rsidRPr="002D6794">
                        <w:rPr>
                          <w:i/>
                          <w:iCs/>
                        </w:rPr>
                        <w:t>(t= 0)]</w:t>
                      </w:r>
                      <w:proofErr w:type="spellStart"/>
                      <w:r w:rsidRPr="002D6794">
                        <w:rPr>
                          <w:i/>
                          <w:iCs/>
                          <w:vertAlign w:val="subscript"/>
                        </w:rPr>
                        <w:t>ij</w:t>
                      </w:r>
                      <w:proofErr w:type="spellEnd"/>
                      <w:r w:rsidRPr="002D6794">
                        <w:rPr>
                          <w:i/>
                          <w:iCs/>
                        </w:rPr>
                        <w:t>/[abs</w:t>
                      </w:r>
                      <w:r w:rsidRPr="002D6794">
                        <w:rPr>
                          <w:i/>
                          <w:iCs/>
                          <w:vertAlign w:val="subscript"/>
                        </w:rPr>
                        <w:t>630</w:t>
                      </w:r>
                      <w:r w:rsidRPr="002D6794">
                        <w:rPr>
                          <w:i/>
                          <w:iCs/>
                        </w:rPr>
                        <w:t>(t= 20) − abs</w:t>
                      </w:r>
                      <w:r w:rsidRPr="002D6794">
                        <w:rPr>
                          <w:i/>
                          <w:iCs/>
                          <w:vertAlign w:val="subscript"/>
                        </w:rPr>
                        <w:t>630</w:t>
                      </w:r>
                      <w:r w:rsidRPr="002D6794">
                        <w:rPr>
                          <w:i/>
                          <w:iCs/>
                        </w:rPr>
                        <w:t>(t= 0)]</w:t>
                      </w:r>
                      <w:proofErr w:type="spellStart"/>
                      <w:r w:rsidRPr="002D6794">
                        <w:rPr>
                          <w:i/>
                          <w:iCs/>
                          <w:vertAlign w:val="subscript"/>
                        </w:rPr>
                        <w:t>controlj</w:t>
                      </w:r>
                      <w:proofErr w:type="spellEnd"/>
                      <w:r w:rsidRPr="002D6794">
                        <w:rPr>
                          <w:i/>
                          <w:iCs/>
                        </w:rPr>
                        <w:t xml:space="preserve">. Each cross‐infection was performed in triplicate at the same time. </w:t>
                      </w:r>
                      <w:proofErr w:type="gramStart"/>
                      <w:r w:rsidRPr="002D6794">
                        <w:rPr>
                          <w:i/>
                          <w:iCs/>
                        </w:rPr>
                        <w:t>Thus</w:t>
                      </w:r>
                      <w:proofErr w:type="gramEnd"/>
                      <w:r w:rsidRPr="002D6794">
                        <w:rPr>
                          <w:i/>
                          <w:iCs/>
                        </w:rPr>
                        <w:t xml:space="preserve"> only data corresponding to </w:t>
                      </w:r>
                      <w:proofErr w:type="spellStart"/>
                      <w:r w:rsidRPr="002D6794">
                        <w:rPr>
                          <w:i/>
                          <w:iCs/>
                        </w:rPr>
                        <w:t>RBG</w:t>
                      </w:r>
                      <w:r w:rsidRPr="002D6794">
                        <w:rPr>
                          <w:i/>
                          <w:iCs/>
                          <w:vertAlign w:val="subscript"/>
                        </w:rPr>
                        <w:t>ij</w:t>
                      </w:r>
                      <w:proofErr w:type="spellEnd"/>
                      <w:r w:rsidRPr="002D6794">
                        <w:rPr>
                          <w:i/>
                          <w:iCs/>
                        </w:rPr>
                        <w:t xml:space="preserve"> &lt; 0.95 were considered in the analyses (positive infection). Data are presented as 1 – </w:t>
                      </w:r>
                      <w:proofErr w:type="spellStart"/>
                      <w:r w:rsidRPr="002D6794">
                        <w:rPr>
                          <w:i/>
                          <w:iCs/>
                        </w:rPr>
                        <w:t>RBG</w:t>
                      </w:r>
                      <w:r w:rsidRPr="002D6794">
                        <w:rPr>
                          <w:i/>
                          <w:iCs/>
                          <w:vertAlign w:val="subscript"/>
                        </w:rPr>
                        <w:t>i</w:t>
                      </w:r>
                      <w:proofErr w:type="spellEnd"/>
                      <w:r w:rsidRPr="002D6794">
                        <w:rPr>
                          <w:i/>
                          <w:iCs/>
                        </w:rPr>
                        <w:t xml:space="preserve"> for more clarity. At the end of the assay, we detected a significant edge effect of the microtiter plates (see also </w:t>
                      </w:r>
                      <w:hyperlink r:id="rId7" w:anchor="b44" w:history="1">
                        <w:r w:rsidRPr="002D6794">
                          <w:rPr>
                            <w:rStyle w:val="Hyperlink"/>
                            <w:i/>
                            <w:iCs/>
                          </w:rPr>
                          <w:t>Oliver et al. 1989</w:t>
                        </w:r>
                      </w:hyperlink>
                      <w:r w:rsidRPr="002D6794">
                        <w:rPr>
                          <w:i/>
                          <w:iCs/>
                        </w:rPr>
                        <w:t xml:space="preserve">; </w:t>
                      </w:r>
                      <w:hyperlink r:id="rId8" w:anchor="b32" w:history="1">
                        <w:r w:rsidRPr="002D6794">
                          <w:rPr>
                            <w:rStyle w:val="Hyperlink"/>
                            <w:i/>
                            <w:iCs/>
                          </w:rPr>
                          <w:t>Johnsen et al. 2002</w:t>
                        </w:r>
                      </w:hyperlink>
                      <w:r w:rsidRPr="002D6794">
                        <w:rPr>
                          <w:i/>
                          <w:iCs/>
                        </w:rPr>
                        <w:t xml:space="preserve">). Therefore, the analysis was performed using 20 central clones instead of 24. Note that starting densities of coevolved phage were assessed on the ancestral bacteria. If a trade‐off exists between infectivity range and the probability of infecting the ancestral bacteria, starting phage densities may be underestimated, which in turn will underestimate the cost. This assay was also used to investigate the pattern of specialization in RBG at the population level by averaging the </w:t>
                      </w:r>
                      <w:proofErr w:type="spellStart"/>
                      <w:r w:rsidRPr="002D6794">
                        <w:rPr>
                          <w:i/>
                          <w:iCs/>
                        </w:rPr>
                        <w:t>RBG</w:t>
                      </w:r>
                      <w:r w:rsidRPr="002D6794">
                        <w:rPr>
                          <w:i/>
                          <w:iCs/>
                          <w:vertAlign w:val="subscript"/>
                        </w:rPr>
                        <w:t>i</w:t>
                      </w:r>
                      <w:proofErr w:type="spellEnd"/>
                      <w:r w:rsidRPr="002D6794">
                        <w:rPr>
                          <w:i/>
                          <w:iCs/>
                        </w:rPr>
                        <w:t xml:space="preserve"> of evolved and coevolved phage isolates on the coevolved susceptible and ancestral bacteria.</w:t>
                      </w:r>
                    </w:p>
                  </w:txbxContent>
                </v:textbox>
                <w10:wrap type="square"/>
              </v:shape>
            </w:pict>
          </mc:Fallback>
        </mc:AlternateContent>
      </w:r>
      <w:r w:rsidR="004737DD">
        <w:t xml:space="preserve">Based on method described by </w:t>
      </w:r>
      <w:proofErr w:type="spellStart"/>
      <w:r w:rsidR="00FB447F">
        <w:t>Poullain</w:t>
      </w:r>
      <w:proofErr w:type="spellEnd"/>
      <w:r w:rsidR="00FB447F">
        <w:t xml:space="preserve"> et al. (2008). The evolution of specificity in evolving and coevolving antagonistic interactions between a </w:t>
      </w:r>
      <w:proofErr w:type="gramStart"/>
      <w:r w:rsidR="00FB447F">
        <w:t>bacteria</w:t>
      </w:r>
      <w:proofErr w:type="gramEnd"/>
      <w:r w:rsidR="00FB447F">
        <w:t xml:space="preserve"> and its phage. </w:t>
      </w:r>
      <w:r w:rsidR="00FB447F">
        <w:rPr>
          <w:i/>
          <w:iCs/>
        </w:rPr>
        <w:t>Evolution: International Journal of Organic Evolution</w:t>
      </w:r>
      <w:r w:rsidR="00FB447F">
        <w:t xml:space="preserve">, </w:t>
      </w:r>
      <w:r w:rsidR="00FB447F">
        <w:rPr>
          <w:i/>
          <w:iCs/>
        </w:rPr>
        <w:t>62</w:t>
      </w:r>
      <w:r w:rsidR="00FB447F">
        <w:t>(1), 1-11.</w:t>
      </w:r>
    </w:p>
    <w:p w14:paraId="2FC2F663" w14:textId="0ACFB4AE" w:rsidR="00B72A8A" w:rsidRDefault="00B72A8A"/>
    <w:p w14:paraId="5D53213F" w14:textId="184F502D" w:rsidR="00F71D7F" w:rsidRDefault="003C67FD">
      <w:r>
        <w:t xml:space="preserve">In the Bacillus system I </w:t>
      </w:r>
      <w:proofErr w:type="gramStart"/>
      <w:r>
        <w:t>don’t</w:t>
      </w:r>
      <w:proofErr w:type="gramEnd"/>
      <w:r>
        <w:t xml:space="preserve"> think we will see much if we grow things without shaking, but we can try.</w:t>
      </w:r>
    </w:p>
    <w:p w14:paraId="35C38ABE" w14:textId="38229C98" w:rsidR="005521D1" w:rsidRDefault="00A412AA" w:rsidP="00A412AA">
      <w:pPr>
        <w:pStyle w:val="ListParagraph"/>
        <w:numPr>
          <w:ilvl w:val="0"/>
          <w:numId w:val="1"/>
        </w:numPr>
      </w:pPr>
      <w:r>
        <w:t>Streak out to colonies</w:t>
      </w:r>
    </w:p>
    <w:p w14:paraId="22DE4412" w14:textId="5284C1E9" w:rsidR="00A412AA" w:rsidRDefault="00A412AA" w:rsidP="00A412AA">
      <w:pPr>
        <w:pStyle w:val="ListParagraph"/>
        <w:numPr>
          <w:ilvl w:val="0"/>
          <w:numId w:val="1"/>
        </w:numPr>
      </w:pPr>
      <w:r>
        <w:t>Pick colonies and grow in oxygen limitation</w:t>
      </w:r>
      <w:r w:rsidR="009F2E44">
        <w:t xml:space="preserve"> (overnight)</w:t>
      </w:r>
    </w:p>
    <w:p w14:paraId="5D7E6D76" w14:textId="00835721" w:rsidR="00A412AA" w:rsidRDefault="009F2E44" w:rsidP="00A412AA">
      <w:pPr>
        <w:pStyle w:val="ListParagraph"/>
        <w:numPr>
          <w:ilvl w:val="0"/>
          <w:numId w:val="1"/>
        </w:numPr>
      </w:pPr>
      <w:r>
        <w:t xml:space="preserve">Adjust OD to be the same in all </w:t>
      </w:r>
      <w:r w:rsidR="00C95EA0">
        <w:t>colonies</w:t>
      </w:r>
    </w:p>
    <w:p w14:paraId="49B23680" w14:textId="085F33A7" w:rsidR="00C95EA0" w:rsidRDefault="00EE43F2" w:rsidP="00A412AA">
      <w:pPr>
        <w:pStyle w:val="ListParagraph"/>
        <w:numPr>
          <w:ilvl w:val="0"/>
          <w:numId w:val="1"/>
        </w:numPr>
      </w:pPr>
      <w:r>
        <w:t>D</w:t>
      </w:r>
      <w:r w:rsidR="00C95EA0">
        <w:t>istribute</w:t>
      </w:r>
      <w:r>
        <w:t xml:space="preserve"> host in plate</w:t>
      </w:r>
    </w:p>
    <w:p w14:paraId="474D414C" w14:textId="08AAE049" w:rsidR="00EE43F2" w:rsidRDefault="00EE43F2" w:rsidP="00A412AA">
      <w:pPr>
        <w:pStyle w:val="ListParagraph"/>
        <w:numPr>
          <w:ilvl w:val="0"/>
          <w:numId w:val="1"/>
        </w:numPr>
      </w:pPr>
      <w:r>
        <w:t>Add phage samples</w:t>
      </w:r>
    </w:p>
    <w:p w14:paraId="6288112F" w14:textId="77777777" w:rsidR="00E71F08" w:rsidRDefault="00E71F08" w:rsidP="003955F9">
      <w:pPr>
        <w:pStyle w:val="ListParagraph"/>
        <w:numPr>
          <w:ilvl w:val="0"/>
          <w:numId w:val="1"/>
        </w:numPr>
      </w:pPr>
      <w:r>
        <w:t>Read OD at T</w:t>
      </w:r>
      <w:r w:rsidRPr="003955F9">
        <w:rPr>
          <w:vertAlign w:val="subscript"/>
        </w:rPr>
        <w:t>0</w:t>
      </w:r>
    </w:p>
    <w:p w14:paraId="1E6B0426" w14:textId="75338B35" w:rsidR="00EE43F2" w:rsidRDefault="00EE43F2" w:rsidP="00A412AA">
      <w:pPr>
        <w:pStyle w:val="ListParagraph"/>
        <w:numPr>
          <w:ilvl w:val="0"/>
          <w:numId w:val="1"/>
        </w:numPr>
      </w:pPr>
      <w:r>
        <w:t xml:space="preserve">Incubate </w:t>
      </w:r>
      <w:r w:rsidR="00610113">
        <w:t>with/without shaking for ~24hrs</w:t>
      </w:r>
    </w:p>
    <w:p w14:paraId="5570710E" w14:textId="76F39733" w:rsidR="007C71CF" w:rsidRPr="003955F9" w:rsidRDefault="007C71CF" w:rsidP="00A412AA">
      <w:pPr>
        <w:pStyle w:val="ListParagraph"/>
        <w:numPr>
          <w:ilvl w:val="0"/>
          <w:numId w:val="1"/>
        </w:numPr>
      </w:pPr>
      <w:r>
        <w:t>Read OD at T</w:t>
      </w:r>
      <w:r w:rsidRPr="003955F9">
        <w:rPr>
          <w:vertAlign w:val="subscript"/>
        </w:rPr>
        <w:t>end</w:t>
      </w:r>
    </w:p>
    <w:p w14:paraId="79FC6786" w14:textId="58DCD6FC" w:rsidR="003955F9" w:rsidRDefault="003955F9" w:rsidP="003955F9">
      <w:pPr>
        <w:rPr>
          <w:rtl/>
        </w:rPr>
      </w:pPr>
    </w:p>
    <w:p w14:paraId="2B30717E" w14:textId="7C7EB07B" w:rsidR="003955F9" w:rsidRDefault="003955F9" w:rsidP="003955F9"/>
    <w:p w14:paraId="450772C4" w14:textId="77777777" w:rsidR="002239C8" w:rsidRPr="002239C8" w:rsidRDefault="002239C8" w:rsidP="002239C8">
      <w:pPr>
        <w:pStyle w:val="ListParagraph"/>
        <w:numPr>
          <w:ilvl w:val="0"/>
          <w:numId w:val="4"/>
        </w:numPr>
        <w:spacing w:after="0" w:line="276" w:lineRule="auto"/>
        <w:rPr>
          <w:rFonts w:cstheme="majorBidi"/>
        </w:rPr>
      </w:pPr>
      <w:r w:rsidRPr="002239C8">
        <w:rPr>
          <w:rFonts w:cstheme="majorBidi"/>
        </w:rPr>
        <w:lastRenderedPageBreak/>
        <w:t xml:space="preserve">From a glycerol stock streak out a sample on </w:t>
      </w:r>
      <w:proofErr w:type="spellStart"/>
      <w:r w:rsidRPr="002239C8">
        <w:rPr>
          <w:rFonts w:cstheme="majorBidi"/>
        </w:rPr>
        <w:t>LB+Cm</w:t>
      </w:r>
      <w:proofErr w:type="spellEnd"/>
      <w:r w:rsidRPr="002239C8">
        <w:rPr>
          <w:rFonts w:cstheme="majorBidi"/>
        </w:rPr>
        <w:t xml:space="preserve"> (5µg/ml) to achieve single colonies. Incubate overnight in 30°C to allow colony growth. </w:t>
      </w:r>
    </w:p>
    <w:p w14:paraId="49CAAF08" w14:textId="77777777" w:rsidR="002239C8" w:rsidRPr="002239C8" w:rsidRDefault="002239C8" w:rsidP="002239C8">
      <w:pPr>
        <w:pStyle w:val="ListParagraph"/>
        <w:numPr>
          <w:ilvl w:val="0"/>
          <w:numId w:val="9"/>
        </w:numPr>
        <w:spacing w:after="0" w:line="276" w:lineRule="auto"/>
        <w:rPr>
          <w:rFonts w:cstheme="majorBidi"/>
          <w:i/>
          <w:iCs/>
          <w:sz w:val="22"/>
          <w:szCs w:val="22"/>
        </w:rPr>
      </w:pPr>
      <w:r w:rsidRPr="002239C8">
        <w:rPr>
          <w:rFonts w:cstheme="majorBidi"/>
          <w:i/>
          <w:iCs/>
          <w:sz w:val="22"/>
          <w:szCs w:val="22"/>
        </w:rPr>
        <w:t>Plate for this stage do not require CaCl</w:t>
      </w:r>
      <w:r w:rsidRPr="002239C8">
        <w:rPr>
          <w:rFonts w:cstheme="majorBidi"/>
          <w:i/>
          <w:iCs/>
          <w:sz w:val="22"/>
          <w:szCs w:val="22"/>
          <w:vertAlign w:val="subscript"/>
        </w:rPr>
        <w:t>2</w:t>
      </w:r>
      <w:r w:rsidRPr="002239C8">
        <w:rPr>
          <w:rFonts w:cstheme="majorBidi"/>
          <w:i/>
          <w:iCs/>
          <w:sz w:val="22"/>
          <w:szCs w:val="22"/>
        </w:rPr>
        <w:t xml:space="preserve"> in the medium but it is not a problem to have it in there.</w:t>
      </w:r>
    </w:p>
    <w:p w14:paraId="7FA999F9" w14:textId="77777777" w:rsidR="002239C8" w:rsidRPr="002239C8" w:rsidRDefault="002239C8" w:rsidP="002239C8">
      <w:pPr>
        <w:pStyle w:val="ListParagraph"/>
        <w:numPr>
          <w:ilvl w:val="0"/>
          <w:numId w:val="9"/>
        </w:numPr>
        <w:spacing w:after="0" w:line="276" w:lineRule="auto"/>
        <w:rPr>
          <w:rFonts w:cstheme="majorBidi"/>
          <w:i/>
          <w:iCs/>
          <w:sz w:val="22"/>
          <w:szCs w:val="22"/>
        </w:rPr>
      </w:pPr>
      <w:r w:rsidRPr="002239C8">
        <w:rPr>
          <w:rFonts w:cstheme="majorBidi"/>
          <w:i/>
          <w:iCs/>
          <w:sz w:val="22"/>
          <w:szCs w:val="22"/>
        </w:rPr>
        <w:t>30°C used so colonies remain small and isolated from each other. 37°C can be used for shorter incubation times</w:t>
      </w:r>
    </w:p>
    <w:p w14:paraId="2884DE05" w14:textId="77777777" w:rsidR="002239C8" w:rsidRPr="002239C8" w:rsidRDefault="002239C8" w:rsidP="002239C8">
      <w:pPr>
        <w:pStyle w:val="ListParagraph"/>
        <w:numPr>
          <w:ilvl w:val="0"/>
          <w:numId w:val="9"/>
        </w:numPr>
        <w:spacing w:after="0" w:line="276" w:lineRule="auto"/>
        <w:rPr>
          <w:rFonts w:cstheme="majorBidi"/>
          <w:i/>
          <w:iCs/>
        </w:rPr>
      </w:pPr>
      <w:r w:rsidRPr="002239C8">
        <w:rPr>
          <w:rFonts w:cstheme="majorBidi"/>
          <w:i/>
          <w:iCs/>
          <w:sz w:val="22"/>
          <w:szCs w:val="22"/>
        </w:rPr>
        <w:t xml:space="preserve">Also streak out the ancestor host (WT or </w:t>
      </w:r>
      <w:proofErr w:type="spellStart"/>
      <w:r w:rsidRPr="002239C8">
        <w:rPr>
          <w:rFonts w:cstheme="majorBidi"/>
          <w:i/>
          <w:iCs/>
          <w:sz w:val="22"/>
          <w:szCs w:val="22"/>
        </w:rPr>
        <w:t>ΔspoIIE</w:t>
      </w:r>
      <w:proofErr w:type="spellEnd"/>
      <w:r w:rsidRPr="002239C8">
        <w:rPr>
          <w:rFonts w:cstheme="majorBidi"/>
          <w:i/>
          <w:iCs/>
          <w:sz w:val="22"/>
          <w:szCs w:val="22"/>
        </w:rPr>
        <w:t>).</w:t>
      </w:r>
    </w:p>
    <w:p w14:paraId="767C623B" w14:textId="6B95F6C3" w:rsidR="006468A7" w:rsidRDefault="006468A7" w:rsidP="00B23526">
      <w:pPr>
        <w:pStyle w:val="ListParagraph"/>
        <w:numPr>
          <w:ilvl w:val="0"/>
          <w:numId w:val="4"/>
        </w:numPr>
        <w:spacing w:after="0" w:line="276" w:lineRule="auto"/>
        <w:rPr>
          <w:rFonts w:cstheme="majorBidi"/>
        </w:rPr>
      </w:pPr>
      <w:r w:rsidRPr="001D7B00">
        <w:rPr>
          <w:rFonts w:cstheme="majorBidi"/>
        </w:rPr>
        <w:t xml:space="preserve">Preparation of cultures to use as </w:t>
      </w:r>
      <w:proofErr w:type="spellStart"/>
      <w:r w:rsidRPr="001D7B00">
        <w:rPr>
          <w:rFonts w:cstheme="majorBidi"/>
        </w:rPr>
        <w:t>inocula</w:t>
      </w:r>
      <w:proofErr w:type="spellEnd"/>
      <w:r w:rsidRPr="001D7B00">
        <w:rPr>
          <w:rFonts w:cstheme="majorBidi"/>
        </w:rPr>
        <w:t xml:space="preserve"> for growth rate experiments</w:t>
      </w:r>
    </w:p>
    <w:p w14:paraId="59698435" w14:textId="77777777" w:rsidR="001D7B00" w:rsidRPr="001D7B00" w:rsidRDefault="001D7B00" w:rsidP="001D7B00">
      <w:pPr>
        <w:spacing w:after="0" w:line="276" w:lineRule="auto"/>
        <w:rPr>
          <w:rFonts w:cstheme="majorBidi"/>
        </w:rPr>
      </w:pPr>
      <w:r w:rsidRPr="001D7B00">
        <w:rPr>
          <w:rFonts w:cstheme="majorBidi"/>
        </w:rPr>
        <w:t>Based on Hall et al. (2013, "Growth rates made easy." MBE 31(1):232) method 2.2:</w:t>
      </w:r>
    </w:p>
    <w:p w14:paraId="4001BC8C" w14:textId="77777777" w:rsidR="001D7B00" w:rsidRPr="006A37E1" w:rsidRDefault="001D7B00" w:rsidP="001D7B00">
      <w:pPr>
        <w:spacing w:after="0" w:line="276" w:lineRule="auto"/>
        <w:rPr>
          <w:rFonts w:cstheme="majorBidi"/>
          <w:i/>
          <w:iCs/>
        </w:rPr>
      </w:pPr>
      <w:r w:rsidRPr="001D7B00">
        <w:rPr>
          <w:rFonts w:cstheme="majorBidi"/>
          <w:i/>
          <w:iCs/>
        </w:rPr>
        <w:t xml:space="preserve">Rich medium, overnight oxygen-limited cultures. Inoculate 10 ml of rich medium in a tightly sealed 15 ml centrifuge tube. Allow the culture to stand overnight without shaking. The culture density will be limited by the available dissolved oxygen, and as a result, there will be fewer dead cells, and viable cells will be in a physiological state that allows rapid resumption of growth. The result is shorter </w:t>
      </w:r>
      <w:r w:rsidRPr="006A37E1">
        <w:rPr>
          <w:rFonts w:cstheme="majorBidi"/>
          <w:i/>
          <w:iCs/>
        </w:rPr>
        <w:t>and more consistent lag times.</w:t>
      </w:r>
    </w:p>
    <w:p w14:paraId="1DAB11CA" w14:textId="77777777" w:rsidR="001D7B00" w:rsidRDefault="001D7B00" w:rsidP="001D7B00">
      <w:pPr>
        <w:spacing w:after="0" w:line="276" w:lineRule="auto"/>
        <w:rPr>
          <w:rFonts w:cstheme="majorBidi"/>
        </w:rPr>
      </w:pPr>
      <w:r>
        <w:rPr>
          <w:rFonts w:cstheme="majorBidi"/>
        </w:rPr>
        <w:t>I think this can be downscaled to microcentrifuge tube.</w:t>
      </w:r>
    </w:p>
    <w:p w14:paraId="560B84FE" w14:textId="5F945184" w:rsidR="001D7B00" w:rsidRDefault="001D7B00" w:rsidP="001D7B00">
      <w:pPr>
        <w:pStyle w:val="ListParagraph"/>
        <w:numPr>
          <w:ilvl w:val="1"/>
          <w:numId w:val="4"/>
        </w:numPr>
        <w:rPr>
          <w:rFonts w:cstheme="majorBidi"/>
        </w:rPr>
      </w:pPr>
      <w:r w:rsidRPr="001D7B00">
        <w:rPr>
          <w:rFonts w:cstheme="majorBidi"/>
        </w:rPr>
        <w:t>Distribute 1.2 ml LB +10mM CaCl</w:t>
      </w:r>
      <w:r w:rsidRPr="00AB65DC">
        <w:rPr>
          <w:rFonts w:cstheme="majorBidi"/>
          <w:vertAlign w:val="subscript"/>
        </w:rPr>
        <w:t>2</w:t>
      </w:r>
      <w:r w:rsidRPr="001D7B00">
        <w:rPr>
          <w:rFonts w:cstheme="majorBidi"/>
        </w:rPr>
        <w:t xml:space="preserve"> + 5µg/ml chloramphenicol into each of </w:t>
      </w:r>
      <w:r w:rsidR="00125758">
        <w:rPr>
          <w:rFonts w:cstheme="majorBidi"/>
        </w:rPr>
        <w:t>24</w:t>
      </w:r>
      <w:r w:rsidRPr="001D7B00">
        <w:rPr>
          <w:rFonts w:cstheme="majorBidi"/>
        </w:rPr>
        <w:t xml:space="preserve"> green microtubes.</w:t>
      </w:r>
    </w:p>
    <w:p w14:paraId="1B092D96" w14:textId="0289118C" w:rsidR="006B58A0" w:rsidRDefault="006468A7" w:rsidP="00A12836">
      <w:pPr>
        <w:pStyle w:val="ListParagraph"/>
        <w:numPr>
          <w:ilvl w:val="1"/>
          <w:numId w:val="4"/>
        </w:numPr>
        <w:rPr>
          <w:rFonts w:cstheme="majorBidi"/>
        </w:rPr>
      </w:pPr>
      <w:r w:rsidRPr="001D7B00">
        <w:rPr>
          <w:rFonts w:cstheme="majorBidi"/>
        </w:rPr>
        <w:t xml:space="preserve">Pick </w:t>
      </w:r>
      <w:r w:rsidR="00FB72C4" w:rsidRPr="001D7B00">
        <w:rPr>
          <w:rFonts w:cstheme="majorBidi"/>
        </w:rPr>
        <w:t>a sin</w:t>
      </w:r>
      <w:r w:rsidR="00296DC8" w:rsidRPr="001D7B00">
        <w:rPr>
          <w:rFonts w:cstheme="majorBidi"/>
        </w:rPr>
        <w:t>g</w:t>
      </w:r>
      <w:r w:rsidR="00FB72C4" w:rsidRPr="001D7B00">
        <w:rPr>
          <w:rFonts w:cstheme="majorBidi"/>
        </w:rPr>
        <w:t>le colony</w:t>
      </w:r>
      <w:r w:rsidRPr="001D7B00">
        <w:rPr>
          <w:rFonts w:cstheme="majorBidi"/>
        </w:rPr>
        <w:t xml:space="preserve"> into a single tube of media</w:t>
      </w:r>
      <w:r w:rsidR="00735BD3">
        <w:rPr>
          <w:rFonts w:cstheme="majorBidi"/>
        </w:rPr>
        <w:t>: 20 colonies fro</w:t>
      </w:r>
      <w:r w:rsidR="00A12836">
        <w:rPr>
          <w:rFonts w:cstheme="majorBidi"/>
        </w:rPr>
        <w:t>m</w:t>
      </w:r>
      <w:r w:rsidR="00735BD3">
        <w:rPr>
          <w:rFonts w:cstheme="majorBidi"/>
        </w:rPr>
        <w:t xml:space="preserve"> the experiment sample, 2 colonies of the ancestor and </w:t>
      </w:r>
      <w:r w:rsidR="00A12836">
        <w:rPr>
          <w:rFonts w:cstheme="majorBidi"/>
        </w:rPr>
        <w:t>2 tubes left as blanks.</w:t>
      </w:r>
      <w:r w:rsidR="001D7B00">
        <w:rPr>
          <w:rFonts w:cstheme="majorBidi"/>
        </w:rPr>
        <w:t xml:space="preserve"> </w:t>
      </w:r>
    </w:p>
    <w:p w14:paraId="5E0258C4" w14:textId="48B76453" w:rsidR="006468A7" w:rsidRDefault="006B58A0" w:rsidP="001D7B00">
      <w:pPr>
        <w:pStyle w:val="ListParagraph"/>
        <w:numPr>
          <w:ilvl w:val="1"/>
          <w:numId w:val="4"/>
        </w:numPr>
        <w:rPr>
          <w:rFonts w:cstheme="majorBidi"/>
        </w:rPr>
      </w:pPr>
      <w:r>
        <w:rPr>
          <w:rFonts w:cstheme="majorBidi"/>
        </w:rPr>
        <w:t>C</w:t>
      </w:r>
      <w:r w:rsidR="006468A7">
        <w:rPr>
          <w:rFonts w:cstheme="majorBidi"/>
        </w:rPr>
        <w:t xml:space="preserve">lose tubes </w:t>
      </w:r>
      <w:r>
        <w:rPr>
          <w:rFonts w:cstheme="majorBidi"/>
        </w:rPr>
        <w:t xml:space="preserve">tightly </w:t>
      </w:r>
      <w:r w:rsidR="006468A7">
        <w:rPr>
          <w:rFonts w:cstheme="majorBidi"/>
        </w:rPr>
        <w:t>and incubate overnight at 37°C without shaking</w:t>
      </w:r>
    </w:p>
    <w:p w14:paraId="3E90A88F" w14:textId="225F1219" w:rsidR="009E20AF" w:rsidRPr="009E20AF" w:rsidRDefault="009E20AF" w:rsidP="009E20AF">
      <w:pPr>
        <w:rPr>
          <w:rFonts w:cstheme="majorBidi"/>
        </w:rPr>
      </w:pPr>
      <w:r>
        <w:rPr>
          <w:rFonts w:cstheme="majorBidi"/>
        </w:rPr>
        <w:t>=== Next Day ==</w:t>
      </w:r>
    </w:p>
    <w:p w14:paraId="5F9518EB" w14:textId="50D9D7FE" w:rsidR="009E20AF" w:rsidRDefault="009E20AF" w:rsidP="009E20AF">
      <w:pPr>
        <w:pStyle w:val="ListParagraph"/>
        <w:numPr>
          <w:ilvl w:val="0"/>
          <w:numId w:val="4"/>
        </w:numPr>
        <w:spacing w:after="0" w:line="276" w:lineRule="auto"/>
        <w:rPr>
          <w:rFonts w:cstheme="majorBidi"/>
        </w:rPr>
      </w:pPr>
      <w:r w:rsidRPr="009E20AF">
        <w:rPr>
          <w:rFonts w:cstheme="majorBidi"/>
        </w:rPr>
        <w:t xml:space="preserve">Prepare lysates for </w:t>
      </w:r>
      <w:r w:rsidR="007D0411">
        <w:rPr>
          <w:rFonts w:cstheme="majorBidi"/>
        </w:rPr>
        <w:t>infection</w:t>
      </w:r>
    </w:p>
    <w:p w14:paraId="50401B11" w14:textId="5527BF57" w:rsidR="007D0411" w:rsidRPr="009E20AF" w:rsidRDefault="007D0411" w:rsidP="007D0411">
      <w:pPr>
        <w:pStyle w:val="ListParagraph"/>
        <w:spacing w:after="0" w:line="276" w:lineRule="auto"/>
        <w:ind w:left="360"/>
        <w:rPr>
          <w:rFonts w:cstheme="majorBidi"/>
        </w:rPr>
      </w:pPr>
      <w:r>
        <w:rPr>
          <w:rFonts w:cstheme="majorBidi"/>
        </w:rPr>
        <w:t>Currently</w:t>
      </w:r>
      <w:r w:rsidR="004B057C">
        <w:rPr>
          <w:rFonts w:cstheme="majorBidi"/>
        </w:rPr>
        <w:t>, w</w:t>
      </w:r>
      <w:r>
        <w:rPr>
          <w:rFonts w:cstheme="majorBidi"/>
        </w:rPr>
        <w:t>e will be challenging</w:t>
      </w:r>
      <w:r w:rsidR="004B057C">
        <w:rPr>
          <w:rFonts w:cstheme="majorBidi"/>
        </w:rPr>
        <w:t xml:space="preserve"> a host with phages from the same time point (“</w:t>
      </w:r>
      <w:r w:rsidR="004B057C" w:rsidRPr="00454467">
        <w:rPr>
          <w:rFonts w:cstheme="majorBidi"/>
          <w:i/>
          <w:iCs/>
        </w:rPr>
        <w:t>Current</w:t>
      </w:r>
      <w:r w:rsidR="004B057C">
        <w:rPr>
          <w:rFonts w:cstheme="majorBidi"/>
        </w:rPr>
        <w:t xml:space="preserve">”), from </w:t>
      </w:r>
      <w:r w:rsidR="00454467">
        <w:rPr>
          <w:rFonts w:cstheme="majorBidi"/>
        </w:rPr>
        <w:t xml:space="preserve">the previous </w:t>
      </w:r>
      <w:proofErr w:type="spellStart"/>
      <w:r w:rsidR="00454467">
        <w:rPr>
          <w:rFonts w:cstheme="majorBidi"/>
        </w:rPr>
        <w:t>teansfer</w:t>
      </w:r>
      <w:proofErr w:type="spellEnd"/>
      <w:r w:rsidR="00454467">
        <w:rPr>
          <w:rFonts w:cstheme="majorBidi"/>
        </w:rPr>
        <w:t xml:space="preserve"> (“</w:t>
      </w:r>
      <w:r w:rsidR="00454467" w:rsidRPr="00454467">
        <w:rPr>
          <w:rFonts w:cstheme="majorBidi"/>
          <w:i/>
          <w:iCs/>
        </w:rPr>
        <w:t>Past</w:t>
      </w:r>
      <w:r w:rsidR="00454467">
        <w:rPr>
          <w:rFonts w:cstheme="majorBidi"/>
        </w:rPr>
        <w:t>”) and from the next transfer (“</w:t>
      </w:r>
      <w:r w:rsidR="00454467" w:rsidRPr="00454467">
        <w:rPr>
          <w:rFonts w:cstheme="majorBidi"/>
          <w:i/>
          <w:iCs/>
        </w:rPr>
        <w:t>Future</w:t>
      </w:r>
      <w:r w:rsidR="00454467">
        <w:rPr>
          <w:rFonts w:cstheme="majorBidi"/>
        </w:rPr>
        <w:t>”).</w:t>
      </w:r>
    </w:p>
    <w:p w14:paraId="75E9CAB5" w14:textId="77777777" w:rsidR="009E20AF" w:rsidRPr="009E20AF" w:rsidRDefault="009E20AF" w:rsidP="00822E1E">
      <w:pPr>
        <w:pStyle w:val="ListParagraph"/>
        <w:spacing w:after="0" w:line="276" w:lineRule="auto"/>
        <w:ind w:left="360"/>
        <w:rPr>
          <w:rFonts w:cstheme="majorBidi"/>
          <w:i/>
          <w:iCs/>
        </w:rPr>
      </w:pPr>
      <w:r w:rsidRPr="009E20AF">
        <w:rPr>
          <w:rFonts w:cstheme="majorBidi"/>
          <w:i/>
          <w:iCs/>
        </w:rPr>
        <w:t>Lysates contain chloroform and spores (which are chloroform resistant)</w:t>
      </w:r>
    </w:p>
    <w:p w14:paraId="25126BB4" w14:textId="77777777" w:rsidR="009E20AF" w:rsidRPr="009E20AF" w:rsidRDefault="009E20AF" w:rsidP="00822E1E">
      <w:pPr>
        <w:pStyle w:val="ListParagraph"/>
        <w:numPr>
          <w:ilvl w:val="1"/>
          <w:numId w:val="4"/>
        </w:numPr>
        <w:spacing w:after="0" w:line="276" w:lineRule="auto"/>
        <w:rPr>
          <w:rFonts w:cstheme="majorBidi"/>
        </w:rPr>
      </w:pPr>
      <w:r w:rsidRPr="009E20AF">
        <w:rPr>
          <w:rFonts w:cstheme="majorBidi"/>
        </w:rPr>
        <w:t>Briefly mix lysate by inverting the tube a few times.</w:t>
      </w:r>
    </w:p>
    <w:p w14:paraId="4EBAAC3C" w14:textId="77777777" w:rsidR="009E20AF" w:rsidRPr="009E20AF" w:rsidRDefault="009E20AF" w:rsidP="00822E1E">
      <w:pPr>
        <w:pStyle w:val="ListParagraph"/>
        <w:numPr>
          <w:ilvl w:val="1"/>
          <w:numId w:val="4"/>
        </w:numPr>
        <w:spacing w:after="0" w:line="276" w:lineRule="auto"/>
        <w:rPr>
          <w:rFonts w:cstheme="majorBidi"/>
        </w:rPr>
      </w:pPr>
      <w:r w:rsidRPr="009E20AF">
        <w:rPr>
          <w:rFonts w:cstheme="majorBidi"/>
        </w:rPr>
        <w:t xml:space="preserve">Centrifuge 10 min at max speed (~7,000 </w:t>
      </w:r>
      <w:proofErr w:type="spellStart"/>
      <w:r w:rsidRPr="009E20AF">
        <w:rPr>
          <w:rFonts w:cstheme="majorBidi"/>
        </w:rPr>
        <w:t>Xg</w:t>
      </w:r>
      <w:proofErr w:type="spellEnd"/>
      <w:r w:rsidRPr="009E20AF">
        <w:rPr>
          <w:rFonts w:cstheme="majorBidi"/>
        </w:rPr>
        <w:t>)</w:t>
      </w:r>
    </w:p>
    <w:p w14:paraId="6A6E5D73" w14:textId="233B8717" w:rsidR="009E20AF" w:rsidRPr="009E20AF" w:rsidRDefault="009E20AF" w:rsidP="00822E1E">
      <w:pPr>
        <w:pStyle w:val="ListParagraph"/>
        <w:numPr>
          <w:ilvl w:val="1"/>
          <w:numId w:val="4"/>
        </w:numPr>
        <w:spacing w:after="0" w:line="276" w:lineRule="auto"/>
        <w:rPr>
          <w:rFonts w:cstheme="majorBidi"/>
        </w:rPr>
      </w:pPr>
      <w:r w:rsidRPr="009E20AF">
        <w:rPr>
          <w:rFonts w:cstheme="majorBidi"/>
        </w:rPr>
        <w:t>Transfer</w:t>
      </w:r>
      <w:r w:rsidR="008B57F7">
        <w:rPr>
          <w:rFonts w:cstheme="majorBidi"/>
        </w:rPr>
        <w:t xml:space="preserve"> 270µl</w:t>
      </w:r>
      <w:r w:rsidRPr="009E20AF">
        <w:rPr>
          <w:rFonts w:cstheme="majorBidi"/>
        </w:rPr>
        <w:t xml:space="preserve"> lysate sample to microcentrifuge tube</w:t>
      </w:r>
    </w:p>
    <w:p w14:paraId="5DD8BE88" w14:textId="77777777" w:rsidR="009E20AF" w:rsidRPr="009E20AF" w:rsidRDefault="009E20AF" w:rsidP="008B57F7">
      <w:pPr>
        <w:pStyle w:val="ListParagraph"/>
        <w:spacing w:after="0" w:line="276" w:lineRule="auto"/>
        <w:ind w:left="792"/>
        <w:rPr>
          <w:rFonts w:cstheme="majorBidi"/>
        </w:rPr>
      </w:pPr>
      <w:r w:rsidRPr="009E20AF">
        <w:rPr>
          <w:rFonts w:cstheme="majorBidi"/>
        </w:rPr>
        <w:t>To reduce spores in sample aspirate sample from top of liquid in the tube.</w:t>
      </w:r>
    </w:p>
    <w:p w14:paraId="23D0A16E" w14:textId="5597B579" w:rsidR="00062BFB" w:rsidRDefault="00062BFB" w:rsidP="00062BFB">
      <w:pPr>
        <w:pStyle w:val="ListParagraph"/>
        <w:numPr>
          <w:ilvl w:val="0"/>
          <w:numId w:val="4"/>
        </w:numPr>
        <w:spacing w:after="0" w:line="276" w:lineRule="auto"/>
        <w:rPr>
          <w:rFonts w:cstheme="majorBidi"/>
        </w:rPr>
      </w:pPr>
      <w:proofErr w:type="spellStart"/>
      <w:r>
        <w:rPr>
          <w:rFonts w:cstheme="majorBidi"/>
        </w:rPr>
        <w:t>Inocula</w:t>
      </w:r>
      <w:proofErr w:type="spellEnd"/>
      <w:r>
        <w:rPr>
          <w:rFonts w:cstheme="majorBidi"/>
        </w:rPr>
        <w:t xml:space="preserve"> culture dilutions</w:t>
      </w:r>
    </w:p>
    <w:p w14:paraId="535D964E" w14:textId="1169ED37" w:rsidR="00062BFB" w:rsidRPr="00062BFB" w:rsidRDefault="00062BFB" w:rsidP="00062BFB">
      <w:pPr>
        <w:spacing w:after="0" w:line="276" w:lineRule="auto"/>
        <w:rPr>
          <w:rFonts w:cstheme="majorBidi"/>
        </w:rPr>
      </w:pPr>
      <w:r w:rsidRPr="00062BFB">
        <w:rPr>
          <w:rFonts w:cstheme="majorBidi"/>
        </w:rPr>
        <w:t>The goal here is to start all the cultures with similar OD. First, we need to measure the OD of overnight tube cultures: transfer 200µl of each culture into a well of 96-well plate and measure OD600 in Synergy plate reader</w:t>
      </w:r>
    </w:p>
    <w:p w14:paraId="55CD84AB" w14:textId="63E5149D" w:rsidR="004D06B2" w:rsidRDefault="00AB65DC" w:rsidP="00062BFB">
      <w:pPr>
        <w:pStyle w:val="ListParagraph"/>
        <w:numPr>
          <w:ilvl w:val="1"/>
          <w:numId w:val="4"/>
        </w:numPr>
        <w:spacing w:after="0" w:line="276" w:lineRule="auto"/>
        <w:rPr>
          <w:rFonts w:cstheme="majorBidi"/>
        </w:rPr>
      </w:pPr>
      <w:r>
        <w:rPr>
          <w:rFonts w:cstheme="majorBidi"/>
        </w:rPr>
        <w:t>D</w:t>
      </w:r>
      <w:r w:rsidRPr="001D7B00">
        <w:rPr>
          <w:rFonts w:cstheme="majorBidi"/>
        </w:rPr>
        <w:t>istribute 1</w:t>
      </w:r>
      <w:r w:rsidR="008C67FD">
        <w:rPr>
          <w:rFonts w:cstheme="majorBidi"/>
        </w:rPr>
        <w:t>.9</w:t>
      </w:r>
      <w:r w:rsidRPr="001D7B00">
        <w:rPr>
          <w:rFonts w:cstheme="majorBidi"/>
        </w:rPr>
        <w:t xml:space="preserve"> ml LB +10mM CaCl</w:t>
      </w:r>
      <w:r w:rsidRPr="00AB65DC">
        <w:rPr>
          <w:rFonts w:cstheme="majorBidi"/>
          <w:vertAlign w:val="subscript"/>
        </w:rPr>
        <w:t>2</w:t>
      </w:r>
      <w:r w:rsidRPr="001D7B00">
        <w:rPr>
          <w:rFonts w:cstheme="majorBidi"/>
        </w:rPr>
        <w:t xml:space="preserve"> + 5µg/ml chloramphenicol into each of </w:t>
      </w:r>
      <w:r w:rsidR="00B6614E">
        <w:rPr>
          <w:rFonts w:cstheme="majorBidi"/>
        </w:rPr>
        <w:t>2</w:t>
      </w:r>
      <w:r w:rsidR="00EC3994">
        <w:rPr>
          <w:rFonts w:cstheme="majorBidi"/>
        </w:rPr>
        <w:t>4</w:t>
      </w:r>
      <w:r w:rsidRPr="001D7B00">
        <w:rPr>
          <w:rFonts w:cstheme="majorBidi"/>
        </w:rPr>
        <w:t xml:space="preserve"> </w:t>
      </w:r>
      <w:r w:rsidR="00980F72">
        <w:rPr>
          <w:rFonts w:cstheme="majorBidi"/>
        </w:rPr>
        <w:t>2ml</w:t>
      </w:r>
      <w:r w:rsidRPr="001D7B00">
        <w:rPr>
          <w:rFonts w:cstheme="majorBidi"/>
        </w:rPr>
        <w:t xml:space="preserve"> microtubes</w:t>
      </w:r>
      <w:r>
        <w:rPr>
          <w:rFonts w:cstheme="majorBidi"/>
        </w:rPr>
        <w:t>.</w:t>
      </w:r>
    </w:p>
    <w:p w14:paraId="15CDAF96" w14:textId="2D84F501" w:rsidR="00062BFB" w:rsidRDefault="00062BFB" w:rsidP="00062BFB">
      <w:pPr>
        <w:pStyle w:val="ListParagraph"/>
        <w:numPr>
          <w:ilvl w:val="1"/>
          <w:numId w:val="4"/>
        </w:numPr>
        <w:spacing w:after="0" w:line="276" w:lineRule="auto"/>
        <w:rPr>
          <w:rFonts w:cstheme="majorBidi"/>
        </w:rPr>
      </w:pPr>
      <w:r>
        <w:rPr>
          <w:rFonts w:cstheme="majorBidi"/>
        </w:rPr>
        <w:t xml:space="preserve">Transfer </w:t>
      </w:r>
      <w:r w:rsidR="000914E3">
        <w:rPr>
          <w:rFonts w:cstheme="majorBidi"/>
        </w:rPr>
        <w:t>19</w:t>
      </w:r>
      <w:r w:rsidR="003E1E64">
        <w:rPr>
          <w:rFonts w:cstheme="majorBidi"/>
        </w:rPr>
        <w:t>0</w:t>
      </w:r>
      <w:r>
        <w:rPr>
          <w:rFonts w:cstheme="majorBidi"/>
        </w:rPr>
        <w:t xml:space="preserve">µl of each </w:t>
      </w:r>
      <w:r w:rsidR="00AB65DC">
        <w:rPr>
          <w:rFonts w:cstheme="majorBidi"/>
        </w:rPr>
        <w:t xml:space="preserve">overnight culture </w:t>
      </w:r>
      <w:r>
        <w:rPr>
          <w:rFonts w:cstheme="majorBidi"/>
        </w:rPr>
        <w:t>tube to a well of 96-well plate</w:t>
      </w:r>
    </w:p>
    <w:p w14:paraId="0ED5D0EE" w14:textId="77777777" w:rsidR="00062BFB" w:rsidRDefault="00062BFB" w:rsidP="00062BFB">
      <w:pPr>
        <w:pStyle w:val="ListParagraph"/>
        <w:numPr>
          <w:ilvl w:val="1"/>
          <w:numId w:val="4"/>
        </w:numPr>
        <w:spacing w:after="0" w:line="276" w:lineRule="auto"/>
        <w:rPr>
          <w:rFonts w:cstheme="majorBidi"/>
        </w:rPr>
      </w:pPr>
      <w:r>
        <w:rPr>
          <w:rFonts w:cstheme="majorBidi"/>
        </w:rPr>
        <w:t>Measure OD</w:t>
      </w:r>
      <w:r w:rsidRPr="006A1FE6">
        <w:rPr>
          <w:rFonts w:cstheme="majorBidi"/>
          <w:vertAlign w:val="subscript"/>
        </w:rPr>
        <w:t>600</w:t>
      </w:r>
      <w:r>
        <w:rPr>
          <w:rFonts w:cstheme="majorBidi"/>
        </w:rPr>
        <w:t xml:space="preserve"> in Synergy plate reader.</w:t>
      </w:r>
    </w:p>
    <w:p w14:paraId="1C4DD2C4" w14:textId="0E91C6BC" w:rsidR="00062BFB" w:rsidRDefault="00062BFB" w:rsidP="00062BFB">
      <w:pPr>
        <w:pStyle w:val="ListParagraph"/>
        <w:numPr>
          <w:ilvl w:val="1"/>
          <w:numId w:val="4"/>
        </w:numPr>
        <w:spacing w:after="0" w:line="276" w:lineRule="auto"/>
        <w:rPr>
          <w:rFonts w:cstheme="majorBidi"/>
        </w:rPr>
      </w:pPr>
      <w:r>
        <w:rPr>
          <w:rFonts w:cstheme="majorBidi"/>
        </w:rPr>
        <w:t xml:space="preserve">Dilute </w:t>
      </w:r>
      <w:proofErr w:type="spellStart"/>
      <w:r>
        <w:rPr>
          <w:rFonts w:cstheme="majorBidi"/>
        </w:rPr>
        <w:t>innocula</w:t>
      </w:r>
      <w:proofErr w:type="spellEnd"/>
      <w:r>
        <w:rPr>
          <w:rFonts w:cstheme="majorBidi"/>
        </w:rPr>
        <w:t xml:space="preserve"> cultures to OD</w:t>
      </w:r>
      <w:r w:rsidRPr="006A1FE6">
        <w:rPr>
          <w:rFonts w:cstheme="majorBidi"/>
          <w:vertAlign w:val="subscript"/>
        </w:rPr>
        <w:t>600</w:t>
      </w:r>
      <w:r>
        <w:rPr>
          <w:rFonts w:cstheme="majorBidi"/>
        </w:rPr>
        <w:t>=0.</w:t>
      </w:r>
      <w:r w:rsidR="00443319">
        <w:rPr>
          <w:rFonts w:cstheme="majorBidi"/>
        </w:rPr>
        <w:t>1</w:t>
      </w:r>
      <w:r>
        <w:rPr>
          <w:rFonts w:cstheme="majorBidi"/>
        </w:rPr>
        <w:t>: remove (</w:t>
      </w:r>
      <w:r w:rsidR="00352901">
        <w:rPr>
          <w:rFonts w:cstheme="majorBidi"/>
        </w:rPr>
        <w:t>190</w:t>
      </w:r>
      <w:r>
        <w:rPr>
          <w:rFonts w:cstheme="majorBidi"/>
        </w:rPr>
        <w:t>/OD) µl from 1</w:t>
      </w:r>
      <w:r w:rsidR="00FB1794">
        <w:rPr>
          <w:rFonts w:cstheme="majorBidi"/>
        </w:rPr>
        <w:t>.9</w:t>
      </w:r>
      <w:r>
        <w:rPr>
          <w:rFonts w:cstheme="majorBidi"/>
        </w:rPr>
        <w:t>ml tube and replenish to 1</w:t>
      </w:r>
      <w:r w:rsidR="00FB1794">
        <w:rPr>
          <w:rFonts w:cstheme="majorBidi"/>
        </w:rPr>
        <w:t>.9</w:t>
      </w:r>
      <w:r>
        <w:rPr>
          <w:rFonts w:cstheme="majorBidi"/>
        </w:rPr>
        <w:t>ml by adding same volume of overnight culture.</w:t>
      </w:r>
      <w:r w:rsidR="00EC3994">
        <w:rPr>
          <w:rFonts w:cstheme="majorBidi"/>
        </w:rPr>
        <w:t xml:space="preserve"> For LB</w:t>
      </w:r>
      <w:r w:rsidR="00D0279A">
        <w:rPr>
          <w:rFonts w:cstheme="majorBidi"/>
        </w:rPr>
        <w:t xml:space="preserve"> only tubes</w:t>
      </w:r>
    </w:p>
    <w:p w14:paraId="7422F1D1" w14:textId="77777777" w:rsidR="00900B83" w:rsidRDefault="00900B83" w:rsidP="00900B83">
      <w:pPr>
        <w:pStyle w:val="ListParagraph"/>
        <w:numPr>
          <w:ilvl w:val="0"/>
          <w:numId w:val="4"/>
        </w:numPr>
        <w:spacing w:after="0" w:line="276" w:lineRule="auto"/>
        <w:rPr>
          <w:rFonts w:cstheme="majorBidi"/>
        </w:rPr>
      </w:pPr>
      <w:r>
        <w:rPr>
          <w:rFonts w:cstheme="majorBidi"/>
        </w:rPr>
        <w:t>Plate setup</w:t>
      </w:r>
    </w:p>
    <w:p w14:paraId="1A33D505" w14:textId="480B03BE" w:rsidR="00B21413" w:rsidRPr="00FE2DE9" w:rsidRDefault="00FE2DE9" w:rsidP="00FE2DE9">
      <w:pPr>
        <w:spacing w:after="0" w:line="276" w:lineRule="auto"/>
        <w:rPr>
          <w:rFonts w:cstheme="majorBidi"/>
        </w:rPr>
      </w:pPr>
      <w:r>
        <w:rPr>
          <w:rFonts w:cstheme="majorBidi"/>
        </w:rPr>
        <w:lastRenderedPageBreak/>
        <w:t xml:space="preserve">First, diluted bacterial cultures will be </w:t>
      </w:r>
      <w:r w:rsidR="005905F8">
        <w:rPr>
          <w:rFonts w:cstheme="majorBidi"/>
        </w:rPr>
        <w:t xml:space="preserve">distributed to wells and then phages will be added. Two </w:t>
      </w:r>
      <w:r w:rsidR="00287758">
        <w:rPr>
          <w:rFonts w:cstheme="majorBidi"/>
        </w:rPr>
        <w:t xml:space="preserve">identical plates will be set to compare growth </w:t>
      </w:r>
      <w:r w:rsidR="0088180E">
        <w:rPr>
          <w:rFonts w:cstheme="majorBidi"/>
        </w:rPr>
        <w:t xml:space="preserve">and growth reduction </w:t>
      </w:r>
      <w:r w:rsidR="00287758">
        <w:rPr>
          <w:rFonts w:cstheme="majorBidi"/>
        </w:rPr>
        <w:t>with</w:t>
      </w:r>
      <w:r w:rsidR="0088180E">
        <w:rPr>
          <w:rFonts w:cstheme="majorBidi"/>
        </w:rPr>
        <w:t>-</w:t>
      </w:r>
      <w:r w:rsidR="00287758">
        <w:rPr>
          <w:rFonts w:cstheme="majorBidi"/>
        </w:rPr>
        <w:t xml:space="preserve"> vs. without</w:t>
      </w:r>
      <w:r w:rsidR="0088180E">
        <w:rPr>
          <w:rFonts w:cstheme="majorBidi"/>
        </w:rPr>
        <w:t>-</w:t>
      </w:r>
      <w:r w:rsidR="00287758">
        <w:rPr>
          <w:rFonts w:cstheme="majorBidi"/>
        </w:rPr>
        <w:t xml:space="preserve"> shaking.</w:t>
      </w:r>
    </w:p>
    <w:p w14:paraId="01142589" w14:textId="40399DEB" w:rsidR="00194467" w:rsidRDefault="00F94C69" w:rsidP="00194467">
      <w:pPr>
        <w:pStyle w:val="ListParagraph"/>
        <w:numPr>
          <w:ilvl w:val="0"/>
          <w:numId w:val="4"/>
        </w:numPr>
        <w:spacing w:after="0" w:line="276" w:lineRule="auto"/>
        <w:rPr>
          <w:rFonts w:cstheme="majorBidi"/>
        </w:rPr>
      </w:pPr>
      <w:r>
        <w:rPr>
          <w:rFonts w:cstheme="majorBidi"/>
        </w:rPr>
        <w:t xml:space="preserve">For each of the </w:t>
      </w:r>
      <w:r w:rsidR="00B6614E">
        <w:rPr>
          <w:rFonts w:cstheme="majorBidi"/>
        </w:rPr>
        <w:t>20</w:t>
      </w:r>
      <w:r>
        <w:rPr>
          <w:rFonts w:cstheme="majorBidi"/>
        </w:rPr>
        <w:t xml:space="preserve"> cultures, </w:t>
      </w:r>
      <w:r w:rsidR="0099457E">
        <w:rPr>
          <w:rFonts w:cstheme="majorBidi"/>
        </w:rPr>
        <w:t>d</w:t>
      </w:r>
      <w:r w:rsidR="00841FB0">
        <w:rPr>
          <w:rFonts w:cstheme="majorBidi"/>
        </w:rPr>
        <w:t>istribute 1</w:t>
      </w:r>
      <w:r w:rsidR="0078769C">
        <w:rPr>
          <w:rFonts w:cstheme="majorBidi"/>
        </w:rPr>
        <w:t>9</w:t>
      </w:r>
      <w:r w:rsidR="00841FB0">
        <w:rPr>
          <w:rFonts w:cstheme="majorBidi"/>
        </w:rPr>
        <w:t>0µl</w:t>
      </w:r>
      <w:r>
        <w:rPr>
          <w:rFonts w:cstheme="majorBidi"/>
        </w:rPr>
        <w:t xml:space="preserve">/well in </w:t>
      </w:r>
      <w:r w:rsidR="00DF6F77">
        <w:rPr>
          <w:rFonts w:cstheme="majorBidi"/>
        </w:rPr>
        <w:t>4</w:t>
      </w:r>
      <w:r w:rsidR="0099457E">
        <w:rPr>
          <w:rFonts w:cstheme="majorBidi"/>
        </w:rPr>
        <w:t xml:space="preserve"> wells of each plate (see plate map)</w:t>
      </w:r>
      <w:r w:rsidR="00E87C14">
        <w:rPr>
          <w:rFonts w:cstheme="majorBidi"/>
        </w:rPr>
        <w:t>.</w:t>
      </w:r>
    </w:p>
    <w:p w14:paraId="3481B30B" w14:textId="202732CC" w:rsidR="00E87C14" w:rsidRPr="00194467" w:rsidRDefault="00843B16" w:rsidP="00194467">
      <w:pPr>
        <w:pStyle w:val="ListParagraph"/>
        <w:numPr>
          <w:ilvl w:val="0"/>
          <w:numId w:val="4"/>
        </w:numPr>
        <w:spacing w:after="0" w:line="276" w:lineRule="auto"/>
        <w:rPr>
          <w:rFonts w:cstheme="majorBidi"/>
        </w:rPr>
      </w:pPr>
      <w:r>
        <w:rPr>
          <w:rFonts w:cstheme="majorBidi"/>
        </w:rPr>
        <w:t>To each well a</w:t>
      </w:r>
      <w:r w:rsidR="00E87C14">
        <w:rPr>
          <w:rFonts w:cstheme="majorBidi"/>
        </w:rPr>
        <w:t xml:space="preserve">dd </w:t>
      </w:r>
      <w:r w:rsidR="00B6614E">
        <w:rPr>
          <w:rFonts w:cstheme="majorBidi"/>
        </w:rPr>
        <w:t>1</w:t>
      </w:r>
      <w:r w:rsidR="00E87C14">
        <w:rPr>
          <w:rFonts w:cstheme="majorBidi"/>
        </w:rPr>
        <w:t>0µl</w:t>
      </w:r>
      <w:r>
        <w:rPr>
          <w:rFonts w:cstheme="majorBidi"/>
        </w:rPr>
        <w:t xml:space="preserve"> of phage (from above) or </w:t>
      </w:r>
      <w:r w:rsidR="00EA224A">
        <w:rPr>
          <w:rFonts w:cstheme="majorBidi"/>
        </w:rPr>
        <w:t>DSM</w:t>
      </w:r>
      <w:r w:rsidR="008C0E88">
        <w:rPr>
          <w:rFonts w:cstheme="majorBidi"/>
        </w:rPr>
        <w:t>.</w:t>
      </w:r>
    </w:p>
    <w:tbl>
      <w:tblPr>
        <w:tblW w:w="5000" w:type="pct"/>
        <w:tblLook w:val="04A0" w:firstRow="1" w:lastRow="0" w:firstColumn="1" w:lastColumn="0" w:noHBand="0" w:noVBand="1"/>
      </w:tblPr>
      <w:tblGrid>
        <w:gridCol w:w="630"/>
        <w:gridCol w:w="629"/>
        <w:gridCol w:w="629"/>
        <w:gridCol w:w="631"/>
        <w:gridCol w:w="631"/>
        <w:gridCol w:w="631"/>
        <w:gridCol w:w="631"/>
        <w:gridCol w:w="631"/>
        <w:gridCol w:w="631"/>
        <w:gridCol w:w="631"/>
        <w:gridCol w:w="632"/>
        <w:gridCol w:w="632"/>
        <w:gridCol w:w="715"/>
        <w:gridCol w:w="1071"/>
      </w:tblGrid>
      <w:tr w:rsidR="005E06DD" w:rsidRPr="0078769C" w14:paraId="61210A20" w14:textId="77777777" w:rsidTr="00180673">
        <w:trPr>
          <w:trHeight w:val="300"/>
        </w:trPr>
        <w:tc>
          <w:tcPr>
            <w:tcW w:w="337"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34AC9DD"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 </w:t>
            </w:r>
          </w:p>
        </w:tc>
        <w:tc>
          <w:tcPr>
            <w:tcW w:w="336" w:type="pct"/>
            <w:tcBorders>
              <w:top w:val="single" w:sz="4" w:space="0" w:color="auto"/>
              <w:left w:val="nil"/>
              <w:bottom w:val="single" w:sz="4" w:space="0" w:color="auto"/>
              <w:right w:val="single" w:sz="4" w:space="0" w:color="auto"/>
            </w:tcBorders>
            <w:shd w:val="clear" w:color="000000" w:fill="00B0F0"/>
            <w:noWrap/>
            <w:vAlign w:val="bottom"/>
            <w:hideMark/>
          </w:tcPr>
          <w:p w14:paraId="072ED710"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1</w:t>
            </w:r>
          </w:p>
        </w:tc>
        <w:tc>
          <w:tcPr>
            <w:tcW w:w="336" w:type="pct"/>
            <w:tcBorders>
              <w:top w:val="single" w:sz="4" w:space="0" w:color="auto"/>
              <w:left w:val="nil"/>
              <w:bottom w:val="single" w:sz="4" w:space="0" w:color="auto"/>
              <w:right w:val="single" w:sz="4" w:space="0" w:color="auto"/>
            </w:tcBorders>
            <w:shd w:val="clear" w:color="000000" w:fill="00B0F0"/>
            <w:noWrap/>
            <w:vAlign w:val="bottom"/>
            <w:hideMark/>
          </w:tcPr>
          <w:p w14:paraId="2AFD47FF"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2</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51BFCA8B"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3</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45CA0638"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4</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725D765F"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5</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06930729"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6</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5186720E"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7</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2DD26BD6"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8</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7C7FC808"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9</w:t>
            </w:r>
          </w:p>
        </w:tc>
        <w:tc>
          <w:tcPr>
            <w:tcW w:w="338" w:type="pct"/>
            <w:tcBorders>
              <w:top w:val="single" w:sz="4" w:space="0" w:color="auto"/>
              <w:left w:val="nil"/>
              <w:bottom w:val="single" w:sz="4" w:space="0" w:color="auto"/>
              <w:right w:val="single" w:sz="4" w:space="0" w:color="auto"/>
            </w:tcBorders>
            <w:shd w:val="clear" w:color="000000" w:fill="00B0F0"/>
            <w:noWrap/>
            <w:vAlign w:val="bottom"/>
            <w:hideMark/>
          </w:tcPr>
          <w:p w14:paraId="4D29CC33"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10</w:t>
            </w:r>
          </w:p>
        </w:tc>
        <w:tc>
          <w:tcPr>
            <w:tcW w:w="338" w:type="pct"/>
            <w:tcBorders>
              <w:top w:val="single" w:sz="4" w:space="0" w:color="auto"/>
              <w:left w:val="nil"/>
              <w:bottom w:val="single" w:sz="4" w:space="0" w:color="auto"/>
              <w:right w:val="single" w:sz="4" w:space="0" w:color="auto"/>
            </w:tcBorders>
            <w:shd w:val="clear" w:color="000000" w:fill="00B0F0"/>
            <w:noWrap/>
            <w:vAlign w:val="bottom"/>
            <w:hideMark/>
          </w:tcPr>
          <w:p w14:paraId="578B8C94"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11</w:t>
            </w:r>
          </w:p>
        </w:tc>
        <w:tc>
          <w:tcPr>
            <w:tcW w:w="382" w:type="pct"/>
            <w:tcBorders>
              <w:top w:val="single" w:sz="4" w:space="0" w:color="auto"/>
              <w:left w:val="nil"/>
              <w:bottom w:val="single" w:sz="4" w:space="0" w:color="auto"/>
              <w:right w:val="single" w:sz="4" w:space="0" w:color="auto"/>
            </w:tcBorders>
            <w:shd w:val="clear" w:color="000000" w:fill="00B0F0"/>
            <w:noWrap/>
            <w:vAlign w:val="bottom"/>
            <w:hideMark/>
          </w:tcPr>
          <w:p w14:paraId="1F9CF19E"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12</w:t>
            </w:r>
          </w:p>
        </w:tc>
        <w:tc>
          <w:tcPr>
            <w:tcW w:w="572" w:type="pct"/>
            <w:tcBorders>
              <w:top w:val="nil"/>
              <w:left w:val="nil"/>
              <w:bottom w:val="nil"/>
              <w:right w:val="nil"/>
            </w:tcBorders>
            <w:shd w:val="clear" w:color="auto" w:fill="auto"/>
            <w:noWrap/>
            <w:vAlign w:val="bottom"/>
            <w:hideMark/>
          </w:tcPr>
          <w:p w14:paraId="62EE0ACB" w14:textId="77777777" w:rsidR="0078769C" w:rsidRPr="0078769C" w:rsidRDefault="0078769C" w:rsidP="005E06DD">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Phage</w:t>
            </w:r>
          </w:p>
        </w:tc>
      </w:tr>
      <w:tr w:rsidR="00180673" w:rsidRPr="0078769C" w14:paraId="7AA1C9F1"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4B8E5B8B"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A</w:t>
            </w:r>
          </w:p>
        </w:tc>
        <w:tc>
          <w:tcPr>
            <w:tcW w:w="336" w:type="pct"/>
            <w:tcBorders>
              <w:top w:val="single" w:sz="4" w:space="0" w:color="auto"/>
              <w:left w:val="nil"/>
              <w:bottom w:val="single" w:sz="4" w:space="0" w:color="auto"/>
              <w:right w:val="single" w:sz="12" w:space="0" w:color="auto"/>
            </w:tcBorders>
            <w:shd w:val="clear" w:color="auto" w:fill="auto"/>
            <w:noWrap/>
            <w:vAlign w:val="bottom"/>
            <w:hideMark/>
          </w:tcPr>
          <w:p w14:paraId="2F5ACF3F" w14:textId="580827BE"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sidR="00125758">
              <w:rPr>
                <w:rFonts w:ascii="Calibri" w:eastAsia="Times New Roman" w:hAnsi="Calibri" w:cs="Calibri"/>
                <w:color w:val="000000"/>
                <w:sz w:val="22"/>
                <w:szCs w:val="22"/>
                <w:lang w:bidi="he-IL"/>
              </w:rPr>
              <w:t>1</w:t>
            </w:r>
          </w:p>
        </w:tc>
        <w:tc>
          <w:tcPr>
            <w:tcW w:w="336"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49CD5F01"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66C28F44"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50FEFEBE"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3</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617F8D19"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4</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7554DC42"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5</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5392CA8F"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6</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4171B015"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7</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417CF131"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8</w:t>
            </w:r>
          </w:p>
        </w:tc>
        <w:tc>
          <w:tcPr>
            <w:tcW w:w="338"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713DBD4A"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9</w:t>
            </w:r>
          </w:p>
        </w:tc>
        <w:tc>
          <w:tcPr>
            <w:tcW w:w="338"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6893AD93"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10</w:t>
            </w:r>
          </w:p>
        </w:tc>
        <w:tc>
          <w:tcPr>
            <w:tcW w:w="382"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0476DD9D" w14:textId="4FB19164" w:rsidR="0078769C" w:rsidRPr="0078769C" w:rsidRDefault="009655AF" w:rsidP="0078769C">
            <w:pPr>
              <w:spacing w:after="0" w:line="240" w:lineRule="auto"/>
              <w:jc w:val="center"/>
              <w:rPr>
                <w:rFonts w:ascii="Calibri" w:eastAsia="Times New Roman" w:hAnsi="Calibri" w:cs="Calibri"/>
                <w:color w:val="000000"/>
                <w:sz w:val="22"/>
                <w:szCs w:val="22"/>
                <w:lang w:bidi="he-IL"/>
              </w:rPr>
            </w:pPr>
            <w:r>
              <w:rPr>
                <w:rFonts w:ascii="Calibri" w:eastAsia="Times New Roman" w:hAnsi="Calibri" w:cs="Calibri"/>
                <w:color w:val="000000"/>
                <w:sz w:val="22"/>
                <w:szCs w:val="22"/>
                <w:lang w:bidi="he-IL"/>
              </w:rPr>
              <w:t>AN</w:t>
            </w:r>
            <w:r w:rsidR="00180673">
              <w:rPr>
                <w:rFonts w:ascii="Calibri" w:eastAsia="Times New Roman" w:hAnsi="Calibri" w:cs="Calibri"/>
                <w:color w:val="000000"/>
                <w:sz w:val="22"/>
                <w:szCs w:val="22"/>
                <w:lang w:bidi="he-IL"/>
              </w:rPr>
              <w:t>C1</w:t>
            </w:r>
          </w:p>
        </w:tc>
        <w:tc>
          <w:tcPr>
            <w:tcW w:w="572" w:type="pct"/>
            <w:tcBorders>
              <w:top w:val="single" w:sz="4" w:space="0" w:color="auto"/>
              <w:left w:val="nil"/>
              <w:bottom w:val="single" w:sz="4" w:space="0" w:color="auto"/>
              <w:right w:val="single" w:sz="4" w:space="0" w:color="auto"/>
            </w:tcBorders>
            <w:shd w:val="clear" w:color="auto" w:fill="auto"/>
            <w:noWrap/>
            <w:vAlign w:val="bottom"/>
            <w:hideMark/>
          </w:tcPr>
          <w:p w14:paraId="5F207127"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NO</w:t>
            </w:r>
          </w:p>
        </w:tc>
      </w:tr>
      <w:tr w:rsidR="00180673" w:rsidRPr="0078769C" w14:paraId="3B224AA2"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2BCD2E85" w14:textId="77777777" w:rsidR="00180673" w:rsidRPr="0078769C" w:rsidRDefault="00180673" w:rsidP="00180673">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B</w:t>
            </w:r>
          </w:p>
        </w:tc>
        <w:tc>
          <w:tcPr>
            <w:tcW w:w="336" w:type="pct"/>
            <w:tcBorders>
              <w:top w:val="nil"/>
              <w:left w:val="nil"/>
              <w:bottom w:val="single" w:sz="4" w:space="0" w:color="auto"/>
              <w:right w:val="single" w:sz="12" w:space="0" w:color="auto"/>
            </w:tcBorders>
            <w:shd w:val="clear" w:color="auto" w:fill="auto"/>
            <w:noWrap/>
            <w:vAlign w:val="bottom"/>
            <w:hideMark/>
          </w:tcPr>
          <w:p w14:paraId="797E637A" w14:textId="482D7556"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Pr>
                <w:rFonts w:ascii="Calibri" w:eastAsia="Times New Roman" w:hAnsi="Calibri" w:cs="Calibri"/>
                <w:color w:val="000000"/>
                <w:sz w:val="22"/>
                <w:szCs w:val="22"/>
                <w:lang w:bidi="he-IL"/>
              </w:rPr>
              <w:t>1</w:t>
            </w:r>
          </w:p>
        </w:tc>
        <w:tc>
          <w:tcPr>
            <w:tcW w:w="336" w:type="pct"/>
            <w:tcBorders>
              <w:top w:val="nil"/>
              <w:left w:val="single" w:sz="12" w:space="0" w:color="auto"/>
              <w:bottom w:val="single" w:sz="4" w:space="0" w:color="auto"/>
              <w:right w:val="single" w:sz="12" w:space="0" w:color="auto"/>
            </w:tcBorders>
            <w:shd w:val="clear" w:color="auto" w:fill="auto"/>
            <w:noWrap/>
            <w:vAlign w:val="bottom"/>
            <w:hideMark/>
          </w:tcPr>
          <w:p w14:paraId="00BB443F"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B35E15B"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D1329F0"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3</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33CC546"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4</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D68F1E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5</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3E16400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6</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6A43804"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7</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1505F6FA"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8</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20E0A2AC"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9</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64CD6FC2"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10</w:t>
            </w:r>
          </w:p>
        </w:tc>
        <w:tc>
          <w:tcPr>
            <w:tcW w:w="382" w:type="pct"/>
            <w:tcBorders>
              <w:top w:val="nil"/>
              <w:left w:val="single" w:sz="12" w:space="0" w:color="auto"/>
              <w:bottom w:val="single" w:sz="4" w:space="0" w:color="auto"/>
              <w:right w:val="single" w:sz="4" w:space="0" w:color="auto"/>
            </w:tcBorders>
            <w:shd w:val="clear" w:color="auto" w:fill="auto"/>
            <w:noWrap/>
            <w:hideMark/>
          </w:tcPr>
          <w:p w14:paraId="3845460F" w14:textId="582B4725"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2208D4">
              <w:rPr>
                <w:rFonts w:ascii="Calibri" w:eastAsia="Times New Roman" w:hAnsi="Calibri" w:cs="Calibri"/>
                <w:color w:val="000000"/>
                <w:sz w:val="22"/>
                <w:szCs w:val="22"/>
                <w:lang w:bidi="he-IL"/>
              </w:rPr>
              <w:t>ANC1</w:t>
            </w:r>
          </w:p>
        </w:tc>
        <w:tc>
          <w:tcPr>
            <w:tcW w:w="572" w:type="pct"/>
            <w:tcBorders>
              <w:top w:val="nil"/>
              <w:left w:val="nil"/>
              <w:bottom w:val="single" w:sz="4" w:space="0" w:color="auto"/>
              <w:right w:val="single" w:sz="4" w:space="0" w:color="auto"/>
            </w:tcBorders>
            <w:shd w:val="clear" w:color="auto" w:fill="auto"/>
            <w:noWrap/>
            <w:vAlign w:val="bottom"/>
            <w:hideMark/>
          </w:tcPr>
          <w:p w14:paraId="549D8C7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PAST</w:t>
            </w:r>
          </w:p>
        </w:tc>
      </w:tr>
      <w:tr w:rsidR="00180673" w:rsidRPr="0078769C" w14:paraId="4B805898"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2D95F26F" w14:textId="77777777" w:rsidR="00180673" w:rsidRPr="0078769C" w:rsidRDefault="00180673" w:rsidP="00180673">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C</w:t>
            </w:r>
          </w:p>
        </w:tc>
        <w:tc>
          <w:tcPr>
            <w:tcW w:w="336" w:type="pct"/>
            <w:tcBorders>
              <w:top w:val="nil"/>
              <w:left w:val="nil"/>
              <w:bottom w:val="single" w:sz="4" w:space="0" w:color="auto"/>
              <w:right w:val="single" w:sz="12" w:space="0" w:color="auto"/>
            </w:tcBorders>
            <w:shd w:val="clear" w:color="auto" w:fill="auto"/>
            <w:noWrap/>
            <w:vAlign w:val="bottom"/>
            <w:hideMark/>
          </w:tcPr>
          <w:p w14:paraId="6C824E09" w14:textId="12FB300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Pr>
                <w:rFonts w:ascii="Calibri" w:eastAsia="Times New Roman" w:hAnsi="Calibri" w:cs="Calibri"/>
                <w:color w:val="000000"/>
                <w:sz w:val="22"/>
                <w:szCs w:val="22"/>
                <w:lang w:bidi="he-IL"/>
              </w:rPr>
              <w:t>1</w:t>
            </w:r>
          </w:p>
        </w:tc>
        <w:tc>
          <w:tcPr>
            <w:tcW w:w="336" w:type="pct"/>
            <w:tcBorders>
              <w:top w:val="nil"/>
              <w:left w:val="single" w:sz="12" w:space="0" w:color="auto"/>
              <w:bottom w:val="single" w:sz="4" w:space="0" w:color="auto"/>
              <w:right w:val="single" w:sz="12" w:space="0" w:color="auto"/>
            </w:tcBorders>
            <w:shd w:val="clear" w:color="auto" w:fill="auto"/>
            <w:noWrap/>
            <w:vAlign w:val="bottom"/>
            <w:hideMark/>
          </w:tcPr>
          <w:p w14:paraId="5DF89492"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468950F"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5B2B2921"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3</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1D5B82C"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4</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1F073A04"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5</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349709C"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6</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6372039C"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7</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8016A17"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8</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594FB5D7"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9</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61FFEFDD"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10</w:t>
            </w:r>
          </w:p>
        </w:tc>
        <w:tc>
          <w:tcPr>
            <w:tcW w:w="382" w:type="pct"/>
            <w:tcBorders>
              <w:top w:val="nil"/>
              <w:left w:val="single" w:sz="12" w:space="0" w:color="auto"/>
              <w:bottom w:val="single" w:sz="4" w:space="0" w:color="auto"/>
              <w:right w:val="single" w:sz="4" w:space="0" w:color="auto"/>
            </w:tcBorders>
            <w:shd w:val="clear" w:color="auto" w:fill="auto"/>
            <w:noWrap/>
            <w:hideMark/>
          </w:tcPr>
          <w:p w14:paraId="32A1EDAB" w14:textId="52E4E36C"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2208D4">
              <w:rPr>
                <w:rFonts w:ascii="Calibri" w:eastAsia="Times New Roman" w:hAnsi="Calibri" w:cs="Calibri"/>
                <w:color w:val="000000"/>
                <w:sz w:val="22"/>
                <w:szCs w:val="22"/>
                <w:lang w:bidi="he-IL"/>
              </w:rPr>
              <w:t>ANC1</w:t>
            </w:r>
          </w:p>
        </w:tc>
        <w:tc>
          <w:tcPr>
            <w:tcW w:w="572" w:type="pct"/>
            <w:tcBorders>
              <w:top w:val="nil"/>
              <w:left w:val="nil"/>
              <w:bottom w:val="single" w:sz="4" w:space="0" w:color="auto"/>
              <w:right w:val="single" w:sz="4" w:space="0" w:color="auto"/>
            </w:tcBorders>
            <w:shd w:val="clear" w:color="auto" w:fill="auto"/>
            <w:noWrap/>
            <w:vAlign w:val="bottom"/>
            <w:hideMark/>
          </w:tcPr>
          <w:p w14:paraId="092780AE" w14:textId="5B979B22"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Pr>
                <w:rFonts w:ascii="Calibri" w:eastAsia="Times New Roman" w:hAnsi="Calibri" w:cs="Calibri"/>
                <w:color w:val="000000"/>
                <w:sz w:val="22"/>
                <w:szCs w:val="22"/>
                <w:lang w:bidi="he-IL"/>
              </w:rPr>
              <w:t>CURRENT</w:t>
            </w:r>
          </w:p>
        </w:tc>
      </w:tr>
      <w:tr w:rsidR="00180673" w:rsidRPr="0078769C" w14:paraId="670E2C6E" w14:textId="77777777" w:rsidTr="00180673">
        <w:trPr>
          <w:trHeight w:val="300"/>
        </w:trPr>
        <w:tc>
          <w:tcPr>
            <w:tcW w:w="337" w:type="pct"/>
            <w:tcBorders>
              <w:top w:val="nil"/>
              <w:left w:val="single" w:sz="4" w:space="0" w:color="auto"/>
              <w:bottom w:val="single" w:sz="12" w:space="0" w:color="auto"/>
              <w:right w:val="single" w:sz="4" w:space="0" w:color="auto"/>
            </w:tcBorders>
            <w:shd w:val="clear" w:color="000000" w:fill="00B0F0"/>
            <w:noWrap/>
            <w:vAlign w:val="bottom"/>
            <w:hideMark/>
          </w:tcPr>
          <w:p w14:paraId="15D3A0B4" w14:textId="77777777" w:rsidR="00180673" w:rsidRPr="0078769C" w:rsidRDefault="00180673" w:rsidP="00180673">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D</w:t>
            </w:r>
          </w:p>
        </w:tc>
        <w:tc>
          <w:tcPr>
            <w:tcW w:w="336" w:type="pct"/>
            <w:tcBorders>
              <w:top w:val="nil"/>
              <w:left w:val="nil"/>
              <w:bottom w:val="single" w:sz="12" w:space="0" w:color="auto"/>
              <w:right w:val="single" w:sz="12" w:space="0" w:color="auto"/>
            </w:tcBorders>
            <w:shd w:val="clear" w:color="auto" w:fill="auto"/>
            <w:noWrap/>
            <w:vAlign w:val="bottom"/>
            <w:hideMark/>
          </w:tcPr>
          <w:p w14:paraId="72C8D8ED" w14:textId="496E350A"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Pr>
                <w:rFonts w:ascii="Calibri" w:eastAsia="Times New Roman" w:hAnsi="Calibri" w:cs="Calibri"/>
                <w:color w:val="000000"/>
                <w:sz w:val="22"/>
                <w:szCs w:val="22"/>
                <w:lang w:bidi="he-IL"/>
              </w:rPr>
              <w:t>1</w:t>
            </w:r>
          </w:p>
        </w:tc>
        <w:tc>
          <w:tcPr>
            <w:tcW w:w="336" w:type="pct"/>
            <w:tcBorders>
              <w:top w:val="nil"/>
              <w:left w:val="single" w:sz="12" w:space="0" w:color="auto"/>
              <w:bottom w:val="single" w:sz="12" w:space="0" w:color="auto"/>
              <w:right w:val="single" w:sz="12" w:space="0" w:color="auto"/>
            </w:tcBorders>
            <w:shd w:val="clear" w:color="auto" w:fill="auto"/>
            <w:noWrap/>
            <w:vAlign w:val="bottom"/>
            <w:hideMark/>
          </w:tcPr>
          <w:p w14:paraId="1E36FD80"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3EA7E5A7"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4A21FC74"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3</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14DEBE3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4</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40350AAB"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5</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4DE71A29"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6</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35E3812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7</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73DE31A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8</w:t>
            </w:r>
          </w:p>
        </w:tc>
        <w:tc>
          <w:tcPr>
            <w:tcW w:w="338" w:type="pct"/>
            <w:tcBorders>
              <w:top w:val="nil"/>
              <w:left w:val="single" w:sz="12" w:space="0" w:color="auto"/>
              <w:bottom w:val="single" w:sz="12" w:space="0" w:color="auto"/>
              <w:right w:val="single" w:sz="12" w:space="0" w:color="auto"/>
            </w:tcBorders>
            <w:shd w:val="clear" w:color="auto" w:fill="auto"/>
            <w:noWrap/>
            <w:vAlign w:val="bottom"/>
            <w:hideMark/>
          </w:tcPr>
          <w:p w14:paraId="2E23728A"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9</w:t>
            </w:r>
          </w:p>
        </w:tc>
        <w:tc>
          <w:tcPr>
            <w:tcW w:w="338" w:type="pct"/>
            <w:tcBorders>
              <w:top w:val="nil"/>
              <w:left w:val="single" w:sz="12" w:space="0" w:color="auto"/>
              <w:bottom w:val="single" w:sz="12" w:space="0" w:color="auto"/>
              <w:right w:val="single" w:sz="12" w:space="0" w:color="auto"/>
            </w:tcBorders>
            <w:shd w:val="clear" w:color="auto" w:fill="auto"/>
            <w:noWrap/>
            <w:vAlign w:val="bottom"/>
            <w:hideMark/>
          </w:tcPr>
          <w:p w14:paraId="20EDEBA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10</w:t>
            </w:r>
          </w:p>
        </w:tc>
        <w:tc>
          <w:tcPr>
            <w:tcW w:w="382" w:type="pct"/>
            <w:tcBorders>
              <w:top w:val="nil"/>
              <w:left w:val="single" w:sz="12" w:space="0" w:color="auto"/>
              <w:bottom w:val="single" w:sz="12" w:space="0" w:color="auto"/>
              <w:right w:val="single" w:sz="4" w:space="0" w:color="auto"/>
            </w:tcBorders>
            <w:shd w:val="clear" w:color="auto" w:fill="auto"/>
            <w:noWrap/>
            <w:hideMark/>
          </w:tcPr>
          <w:p w14:paraId="627739FE" w14:textId="3247CA30"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2208D4">
              <w:rPr>
                <w:rFonts w:ascii="Calibri" w:eastAsia="Times New Roman" w:hAnsi="Calibri" w:cs="Calibri"/>
                <w:color w:val="000000"/>
                <w:sz w:val="22"/>
                <w:szCs w:val="22"/>
                <w:lang w:bidi="he-IL"/>
              </w:rPr>
              <w:t>ANC1</w:t>
            </w:r>
          </w:p>
        </w:tc>
        <w:tc>
          <w:tcPr>
            <w:tcW w:w="572" w:type="pct"/>
            <w:tcBorders>
              <w:top w:val="nil"/>
              <w:left w:val="nil"/>
              <w:bottom w:val="single" w:sz="12" w:space="0" w:color="auto"/>
              <w:right w:val="single" w:sz="4" w:space="0" w:color="auto"/>
            </w:tcBorders>
            <w:shd w:val="clear" w:color="auto" w:fill="auto"/>
            <w:noWrap/>
            <w:vAlign w:val="bottom"/>
            <w:hideMark/>
          </w:tcPr>
          <w:p w14:paraId="12F89F91"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FUTURE</w:t>
            </w:r>
          </w:p>
        </w:tc>
      </w:tr>
      <w:tr w:rsidR="00180673" w:rsidRPr="0078769C" w14:paraId="760E1736" w14:textId="77777777" w:rsidTr="00180673">
        <w:trPr>
          <w:trHeight w:val="300"/>
        </w:trPr>
        <w:tc>
          <w:tcPr>
            <w:tcW w:w="337" w:type="pct"/>
            <w:tcBorders>
              <w:top w:val="single" w:sz="12" w:space="0" w:color="auto"/>
              <w:left w:val="single" w:sz="4" w:space="0" w:color="auto"/>
              <w:bottom w:val="single" w:sz="4" w:space="0" w:color="auto"/>
              <w:right w:val="single" w:sz="4" w:space="0" w:color="auto"/>
            </w:tcBorders>
            <w:shd w:val="clear" w:color="000000" w:fill="00B0F0"/>
            <w:noWrap/>
            <w:vAlign w:val="bottom"/>
            <w:hideMark/>
          </w:tcPr>
          <w:p w14:paraId="25CB5EFD" w14:textId="77777777" w:rsidR="005E06DD" w:rsidRPr="0078769C" w:rsidRDefault="005E06DD" w:rsidP="005E06DD">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E</w:t>
            </w:r>
          </w:p>
        </w:tc>
        <w:tc>
          <w:tcPr>
            <w:tcW w:w="336" w:type="pct"/>
            <w:tcBorders>
              <w:top w:val="single" w:sz="12" w:space="0" w:color="auto"/>
              <w:left w:val="nil"/>
              <w:bottom w:val="single" w:sz="4" w:space="0" w:color="auto"/>
              <w:right w:val="single" w:sz="12" w:space="0" w:color="auto"/>
            </w:tcBorders>
            <w:shd w:val="clear" w:color="auto" w:fill="auto"/>
            <w:noWrap/>
            <w:vAlign w:val="bottom"/>
            <w:hideMark/>
          </w:tcPr>
          <w:p w14:paraId="0607E063" w14:textId="020144C6"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sidR="00151B0D">
              <w:rPr>
                <w:rFonts w:ascii="Calibri" w:eastAsia="Times New Roman" w:hAnsi="Calibri" w:cs="Calibri"/>
                <w:color w:val="000000"/>
                <w:sz w:val="22"/>
                <w:szCs w:val="22"/>
                <w:lang w:bidi="he-IL"/>
              </w:rPr>
              <w:t>2</w:t>
            </w:r>
          </w:p>
        </w:tc>
        <w:tc>
          <w:tcPr>
            <w:tcW w:w="336"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7737EC96"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11</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377C204B"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12</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2FEFA301"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13</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174D3B53"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14</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08E9B074"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15</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082308B1"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16</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43112AC5"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17</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04A29173"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18</w:t>
            </w:r>
          </w:p>
        </w:tc>
        <w:tc>
          <w:tcPr>
            <w:tcW w:w="338"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6BB29FFF"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19</w:t>
            </w:r>
          </w:p>
        </w:tc>
        <w:tc>
          <w:tcPr>
            <w:tcW w:w="338"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3EB0F4D2"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20</w:t>
            </w:r>
          </w:p>
        </w:tc>
        <w:tc>
          <w:tcPr>
            <w:tcW w:w="382"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5ACE772" w14:textId="484E1087" w:rsidR="005E06DD" w:rsidRPr="0078769C" w:rsidRDefault="00180673" w:rsidP="005E06DD">
            <w:pPr>
              <w:spacing w:after="0" w:line="240" w:lineRule="auto"/>
              <w:jc w:val="center"/>
              <w:rPr>
                <w:rFonts w:ascii="Calibri" w:eastAsia="Times New Roman" w:hAnsi="Calibri" w:cs="Calibri"/>
                <w:color w:val="000000"/>
                <w:sz w:val="22"/>
                <w:szCs w:val="22"/>
                <w:lang w:bidi="he-IL"/>
              </w:rPr>
            </w:pPr>
            <w:r>
              <w:rPr>
                <w:rFonts w:ascii="Calibri" w:eastAsia="Times New Roman" w:hAnsi="Calibri" w:cs="Calibri"/>
                <w:color w:val="000000"/>
                <w:sz w:val="22"/>
                <w:szCs w:val="22"/>
                <w:lang w:bidi="he-IL"/>
              </w:rPr>
              <w:t>ANC2</w:t>
            </w:r>
          </w:p>
        </w:tc>
        <w:tc>
          <w:tcPr>
            <w:tcW w:w="572" w:type="pct"/>
            <w:tcBorders>
              <w:top w:val="single" w:sz="12" w:space="0" w:color="auto"/>
              <w:left w:val="nil"/>
              <w:bottom w:val="single" w:sz="4" w:space="0" w:color="auto"/>
              <w:right w:val="single" w:sz="4" w:space="0" w:color="auto"/>
            </w:tcBorders>
            <w:shd w:val="clear" w:color="auto" w:fill="auto"/>
            <w:noWrap/>
            <w:vAlign w:val="bottom"/>
            <w:hideMark/>
          </w:tcPr>
          <w:p w14:paraId="7537BB01" w14:textId="636F963A"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NO</w:t>
            </w:r>
          </w:p>
        </w:tc>
      </w:tr>
      <w:tr w:rsidR="00180673" w:rsidRPr="0078769C" w14:paraId="133E70F6"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159D6A95" w14:textId="77777777" w:rsidR="00180673" w:rsidRPr="0078769C" w:rsidRDefault="00180673" w:rsidP="00180673">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F</w:t>
            </w:r>
          </w:p>
        </w:tc>
        <w:tc>
          <w:tcPr>
            <w:tcW w:w="336" w:type="pct"/>
            <w:tcBorders>
              <w:top w:val="nil"/>
              <w:left w:val="nil"/>
              <w:bottom w:val="single" w:sz="4" w:space="0" w:color="auto"/>
              <w:right w:val="single" w:sz="12" w:space="0" w:color="auto"/>
            </w:tcBorders>
            <w:shd w:val="clear" w:color="auto" w:fill="auto"/>
            <w:noWrap/>
            <w:vAlign w:val="bottom"/>
            <w:hideMark/>
          </w:tcPr>
          <w:p w14:paraId="530E8243" w14:textId="23F598D3"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Pr>
                <w:rFonts w:ascii="Calibri" w:eastAsia="Times New Roman" w:hAnsi="Calibri" w:cs="Calibri"/>
                <w:color w:val="000000"/>
                <w:sz w:val="22"/>
                <w:szCs w:val="22"/>
                <w:lang w:bidi="he-IL"/>
              </w:rPr>
              <w:t>2</w:t>
            </w:r>
          </w:p>
        </w:tc>
        <w:tc>
          <w:tcPr>
            <w:tcW w:w="336" w:type="pct"/>
            <w:tcBorders>
              <w:top w:val="nil"/>
              <w:left w:val="single" w:sz="12" w:space="0" w:color="auto"/>
              <w:bottom w:val="single" w:sz="4" w:space="0" w:color="auto"/>
              <w:right w:val="single" w:sz="12" w:space="0" w:color="auto"/>
            </w:tcBorders>
            <w:shd w:val="clear" w:color="auto" w:fill="auto"/>
            <w:noWrap/>
            <w:vAlign w:val="bottom"/>
            <w:hideMark/>
          </w:tcPr>
          <w:p w14:paraId="6EA81DA7"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11</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2867D4A"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12</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3C814FD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13</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7E070F3"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14</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0859FA90"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15</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EEE2972"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16</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11B8F107"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17</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F0361B2"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18</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3FC7E6CB"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19</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72EDE0C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20</w:t>
            </w:r>
          </w:p>
        </w:tc>
        <w:tc>
          <w:tcPr>
            <w:tcW w:w="382" w:type="pct"/>
            <w:tcBorders>
              <w:top w:val="nil"/>
              <w:left w:val="single" w:sz="12" w:space="0" w:color="auto"/>
              <w:bottom w:val="single" w:sz="4" w:space="0" w:color="auto"/>
              <w:right w:val="single" w:sz="4" w:space="0" w:color="auto"/>
            </w:tcBorders>
            <w:shd w:val="clear" w:color="auto" w:fill="auto"/>
            <w:noWrap/>
            <w:hideMark/>
          </w:tcPr>
          <w:p w14:paraId="2AD4DC68" w14:textId="19D4C441"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BD2AAC">
              <w:rPr>
                <w:rFonts w:ascii="Calibri" w:eastAsia="Times New Roman" w:hAnsi="Calibri" w:cs="Calibri"/>
                <w:color w:val="000000"/>
                <w:sz w:val="22"/>
                <w:szCs w:val="22"/>
                <w:lang w:bidi="he-IL"/>
              </w:rPr>
              <w:t>ANC2</w:t>
            </w:r>
          </w:p>
        </w:tc>
        <w:tc>
          <w:tcPr>
            <w:tcW w:w="572" w:type="pct"/>
            <w:tcBorders>
              <w:top w:val="nil"/>
              <w:left w:val="nil"/>
              <w:bottom w:val="single" w:sz="4" w:space="0" w:color="auto"/>
              <w:right w:val="single" w:sz="4" w:space="0" w:color="auto"/>
            </w:tcBorders>
            <w:shd w:val="clear" w:color="auto" w:fill="auto"/>
            <w:noWrap/>
            <w:vAlign w:val="bottom"/>
            <w:hideMark/>
          </w:tcPr>
          <w:p w14:paraId="4318388E" w14:textId="056906D5"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PAST</w:t>
            </w:r>
          </w:p>
        </w:tc>
      </w:tr>
      <w:tr w:rsidR="00180673" w:rsidRPr="0078769C" w14:paraId="1CD8FE8E"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5D804AE2" w14:textId="77777777" w:rsidR="00180673" w:rsidRPr="0078769C" w:rsidRDefault="00180673" w:rsidP="00180673">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G</w:t>
            </w:r>
          </w:p>
        </w:tc>
        <w:tc>
          <w:tcPr>
            <w:tcW w:w="336" w:type="pct"/>
            <w:tcBorders>
              <w:top w:val="nil"/>
              <w:left w:val="nil"/>
              <w:bottom w:val="single" w:sz="4" w:space="0" w:color="auto"/>
              <w:right w:val="single" w:sz="12" w:space="0" w:color="auto"/>
            </w:tcBorders>
            <w:shd w:val="clear" w:color="auto" w:fill="auto"/>
            <w:noWrap/>
            <w:vAlign w:val="bottom"/>
            <w:hideMark/>
          </w:tcPr>
          <w:p w14:paraId="1DC59ED0" w14:textId="07F01149"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Pr>
                <w:rFonts w:ascii="Calibri" w:eastAsia="Times New Roman" w:hAnsi="Calibri" w:cs="Calibri"/>
                <w:color w:val="000000"/>
                <w:sz w:val="22"/>
                <w:szCs w:val="22"/>
                <w:lang w:bidi="he-IL"/>
              </w:rPr>
              <w:t>2</w:t>
            </w:r>
          </w:p>
        </w:tc>
        <w:tc>
          <w:tcPr>
            <w:tcW w:w="336" w:type="pct"/>
            <w:tcBorders>
              <w:top w:val="nil"/>
              <w:left w:val="single" w:sz="12" w:space="0" w:color="auto"/>
              <w:bottom w:val="single" w:sz="4" w:space="0" w:color="auto"/>
              <w:right w:val="single" w:sz="12" w:space="0" w:color="auto"/>
            </w:tcBorders>
            <w:shd w:val="clear" w:color="auto" w:fill="auto"/>
            <w:noWrap/>
            <w:vAlign w:val="bottom"/>
            <w:hideMark/>
          </w:tcPr>
          <w:p w14:paraId="416A5BD1"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11</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8513AF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12</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F50E27D"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13</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6D0DA26F"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14</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3F1D7209"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15</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67ACAAE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16</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6624F50C"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17</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32D9AFB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18</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6437D274"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19</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4C91A274"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20</w:t>
            </w:r>
          </w:p>
        </w:tc>
        <w:tc>
          <w:tcPr>
            <w:tcW w:w="382" w:type="pct"/>
            <w:tcBorders>
              <w:top w:val="nil"/>
              <w:left w:val="single" w:sz="12" w:space="0" w:color="auto"/>
              <w:bottom w:val="single" w:sz="4" w:space="0" w:color="auto"/>
              <w:right w:val="single" w:sz="4" w:space="0" w:color="auto"/>
            </w:tcBorders>
            <w:shd w:val="clear" w:color="auto" w:fill="auto"/>
            <w:noWrap/>
            <w:hideMark/>
          </w:tcPr>
          <w:p w14:paraId="0A120EB7" w14:textId="63E110EF"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BD2AAC">
              <w:rPr>
                <w:rFonts w:ascii="Calibri" w:eastAsia="Times New Roman" w:hAnsi="Calibri" w:cs="Calibri"/>
                <w:color w:val="000000"/>
                <w:sz w:val="22"/>
                <w:szCs w:val="22"/>
                <w:lang w:bidi="he-IL"/>
              </w:rPr>
              <w:t>ANC2</w:t>
            </w:r>
          </w:p>
        </w:tc>
        <w:tc>
          <w:tcPr>
            <w:tcW w:w="572" w:type="pct"/>
            <w:tcBorders>
              <w:top w:val="nil"/>
              <w:left w:val="nil"/>
              <w:bottom w:val="single" w:sz="4" w:space="0" w:color="auto"/>
              <w:right w:val="single" w:sz="4" w:space="0" w:color="auto"/>
            </w:tcBorders>
            <w:shd w:val="clear" w:color="auto" w:fill="auto"/>
            <w:noWrap/>
            <w:vAlign w:val="bottom"/>
            <w:hideMark/>
          </w:tcPr>
          <w:p w14:paraId="71CB3C66" w14:textId="5F94DE61"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Pr>
                <w:rFonts w:ascii="Calibri" w:eastAsia="Times New Roman" w:hAnsi="Calibri" w:cs="Calibri"/>
                <w:color w:val="000000"/>
                <w:sz w:val="22"/>
                <w:szCs w:val="22"/>
                <w:lang w:bidi="he-IL"/>
              </w:rPr>
              <w:t>CURRENT</w:t>
            </w:r>
          </w:p>
        </w:tc>
      </w:tr>
      <w:tr w:rsidR="00180673" w:rsidRPr="0078769C" w14:paraId="56A8F23C"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4BAA5DD5" w14:textId="77777777" w:rsidR="005E06DD" w:rsidRPr="0078769C" w:rsidRDefault="005E06DD" w:rsidP="005E06DD">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H</w:t>
            </w:r>
          </w:p>
        </w:tc>
        <w:tc>
          <w:tcPr>
            <w:tcW w:w="336" w:type="pct"/>
            <w:tcBorders>
              <w:top w:val="nil"/>
              <w:left w:val="nil"/>
              <w:bottom w:val="single" w:sz="4" w:space="0" w:color="auto"/>
              <w:right w:val="single" w:sz="12" w:space="0" w:color="auto"/>
            </w:tcBorders>
            <w:shd w:val="clear" w:color="auto" w:fill="auto"/>
            <w:noWrap/>
            <w:vAlign w:val="bottom"/>
            <w:hideMark/>
          </w:tcPr>
          <w:p w14:paraId="61DEA2D2" w14:textId="1FF4A87A"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sidR="00151B0D">
              <w:rPr>
                <w:rFonts w:ascii="Calibri" w:eastAsia="Times New Roman" w:hAnsi="Calibri" w:cs="Calibri"/>
                <w:color w:val="000000"/>
                <w:sz w:val="22"/>
                <w:szCs w:val="22"/>
                <w:lang w:bidi="he-IL"/>
              </w:rPr>
              <w:t>2</w:t>
            </w:r>
          </w:p>
        </w:tc>
        <w:tc>
          <w:tcPr>
            <w:tcW w:w="336" w:type="pct"/>
            <w:tcBorders>
              <w:top w:val="nil"/>
              <w:left w:val="single" w:sz="12" w:space="0" w:color="auto"/>
              <w:bottom w:val="single" w:sz="4" w:space="0" w:color="auto"/>
              <w:right w:val="single" w:sz="12" w:space="0" w:color="auto"/>
            </w:tcBorders>
            <w:shd w:val="clear" w:color="auto" w:fill="auto"/>
            <w:noWrap/>
            <w:vAlign w:val="bottom"/>
            <w:hideMark/>
          </w:tcPr>
          <w:p w14:paraId="35194874"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11</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5FD4EC7"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12</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01C3EA75"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13</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54064CE4"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14</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10C09E20"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15</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87EED31"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16</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85E5A26"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17</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66B54C7A"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18</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5443DB01"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19</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4A35AAC7"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20</w:t>
            </w:r>
          </w:p>
        </w:tc>
        <w:tc>
          <w:tcPr>
            <w:tcW w:w="382" w:type="pct"/>
            <w:tcBorders>
              <w:top w:val="nil"/>
              <w:left w:val="single" w:sz="12" w:space="0" w:color="auto"/>
              <w:bottom w:val="single" w:sz="4" w:space="0" w:color="auto"/>
              <w:right w:val="single" w:sz="4" w:space="0" w:color="auto"/>
            </w:tcBorders>
            <w:shd w:val="clear" w:color="auto" w:fill="auto"/>
            <w:noWrap/>
            <w:vAlign w:val="bottom"/>
            <w:hideMark/>
          </w:tcPr>
          <w:p w14:paraId="07E55FF9" w14:textId="73A76B54" w:rsidR="005E06DD" w:rsidRPr="0078769C" w:rsidRDefault="00306BE7" w:rsidP="005E06DD">
            <w:pPr>
              <w:spacing w:after="0" w:line="240" w:lineRule="auto"/>
              <w:jc w:val="center"/>
              <w:rPr>
                <w:rFonts w:ascii="Calibri" w:eastAsia="Times New Roman" w:hAnsi="Calibri" w:cs="Calibri"/>
                <w:color w:val="000000"/>
                <w:sz w:val="22"/>
                <w:szCs w:val="22"/>
                <w:lang w:bidi="he-IL"/>
              </w:rPr>
            </w:pPr>
            <w:r w:rsidRPr="00BD2AAC">
              <w:rPr>
                <w:rFonts w:ascii="Calibri" w:eastAsia="Times New Roman" w:hAnsi="Calibri" w:cs="Calibri"/>
                <w:color w:val="000000"/>
                <w:sz w:val="22"/>
                <w:szCs w:val="22"/>
                <w:lang w:bidi="he-IL"/>
              </w:rPr>
              <w:t>ANC2</w:t>
            </w:r>
          </w:p>
        </w:tc>
        <w:tc>
          <w:tcPr>
            <w:tcW w:w="572" w:type="pct"/>
            <w:tcBorders>
              <w:top w:val="nil"/>
              <w:left w:val="nil"/>
              <w:bottom w:val="single" w:sz="4" w:space="0" w:color="auto"/>
              <w:right w:val="single" w:sz="4" w:space="0" w:color="auto"/>
            </w:tcBorders>
            <w:shd w:val="clear" w:color="auto" w:fill="auto"/>
            <w:noWrap/>
            <w:vAlign w:val="bottom"/>
            <w:hideMark/>
          </w:tcPr>
          <w:p w14:paraId="059F9878" w14:textId="1E87E762"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FUTURE</w:t>
            </w:r>
          </w:p>
        </w:tc>
      </w:tr>
    </w:tbl>
    <w:p w14:paraId="224D0DB9" w14:textId="77777777" w:rsidR="00194467" w:rsidRPr="00D35FD0" w:rsidRDefault="00194467" w:rsidP="00D35FD0">
      <w:pPr>
        <w:spacing w:after="0" w:line="276" w:lineRule="auto"/>
        <w:rPr>
          <w:rFonts w:cstheme="majorBidi"/>
        </w:rPr>
      </w:pPr>
    </w:p>
    <w:p w14:paraId="374AEC57" w14:textId="7349AADF" w:rsidR="006B58A0" w:rsidRDefault="00113E26" w:rsidP="006B58A0">
      <w:pPr>
        <w:pStyle w:val="ListParagraph"/>
        <w:numPr>
          <w:ilvl w:val="0"/>
          <w:numId w:val="4"/>
        </w:numPr>
        <w:rPr>
          <w:rFonts w:cstheme="majorBidi"/>
        </w:rPr>
      </w:pPr>
      <w:r>
        <w:rPr>
          <w:rFonts w:cstheme="majorBidi"/>
        </w:rPr>
        <w:t>For static plate:</w:t>
      </w:r>
    </w:p>
    <w:p w14:paraId="19F90214" w14:textId="034F71A8" w:rsidR="00112350" w:rsidRPr="00795921" w:rsidRDefault="00112350" w:rsidP="00112350">
      <w:pPr>
        <w:pStyle w:val="ListParagraph"/>
        <w:numPr>
          <w:ilvl w:val="1"/>
          <w:numId w:val="4"/>
        </w:numPr>
        <w:spacing w:after="0" w:line="276" w:lineRule="auto"/>
        <w:rPr>
          <w:rFonts w:cstheme="majorBidi"/>
        </w:rPr>
      </w:pPr>
      <w:r w:rsidRPr="00795921">
        <w:rPr>
          <w:rFonts w:cstheme="majorBidi"/>
        </w:rPr>
        <w:t>Read OD600 in synergy 2 (</w:t>
      </w:r>
      <w:r w:rsidR="0034786D">
        <w:rPr>
          <w:rFonts w:cstheme="majorBidi"/>
        </w:rPr>
        <w:t>T</w:t>
      </w:r>
      <w:r w:rsidR="0034786D">
        <w:rPr>
          <w:rFonts w:cstheme="majorBidi"/>
          <w:vertAlign w:val="subscript"/>
        </w:rPr>
        <w:t>0</w:t>
      </w:r>
      <w:r w:rsidRPr="00795921">
        <w:rPr>
          <w:rFonts w:cstheme="majorBidi"/>
        </w:rPr>
        <w:t>)</w:t>
      </w:r>
    </w:p>
    <w:p w14:paraId="6C2D1E87" w14:textId="56E67E88" w:rsidR="00112350" w:rsidRDefault="00234AEF" w:rsidP="00112350">
      <w:pPr>
        <w:pStyle w:val="ListParagraph"/>
        <w:numPr>
          <w:ilvl w:val="1"/>
          <w:numId w:val="4"/>
        </w:numPr>
        <w:rPr>
          <w:rFonts w:cstheme="majorBidi"/>
        </w:rPr>
      </w:pPr>
      <w:r>
        <w:rPr>
          <w:rFonts w:cstheme="majorBidi"/>
        </w:rPr>
        <w:t>Place plate in 37</w:t>
      </w:r>
      <w:r w:rsidR="0034786D">
        <w:rPr>
          <w:rFonts w:ascii="Times New Roman" w:hAnsi="Times New Roman"/>
        </w:rPr>
        <w:t>°</w:t>
      </w:r>
      <w:r w:rsidR="0034786D">
        <w:rPr>
          <w:rFonts w:cstheme="majorBidi"/>
        </w:rPr>
        <w:t>C incubator</w:t>
      </w:r>
    </w:p>
    <w:p w14:paraId="22C8A528" w14:textId="3516FD0A" w:rsidR="00113E26" w:rsidRDefault="00112350" w:rsidP="006B58A0">
      <w:pPr>
        <w:pStyle w:val="ListParagraph"/>
        <w:numPr>
          <w:ilvl w:val="0"/>
          <w:numId w:val="4"/>
        </w:numPr>
        <w:rPr>
          <w:rFonts w:cstheme="majorBidi"/>
        </w:rPr>
      </w:pPr>
      <w:r>
        <w:rPr>
          <w:rFonts w:cstheme="majorBidi"/>
        </w:rPr>
        <w:t>For shaken plate:</w:t>
      </w:r>
    </w:p>
    <w:p w14:paraId="7C6F2178" w14:textId="49F77CE9" w:rsidR="00112350" w:rsidRPr="00795921" w:rsidRDefault="00112350" w:rsidP="00112350">
      <w:pPr>
        <w:pStyle w:val="ListParagraph"/>
        <w:numPr>
          <w:ilvl w:val="1"/>
          <w:numId w:val="4"/>
        </w:numPr>
        <w:spacing w:after="0" w:line="276" w:lineRule="auto"/>
        <w:rPr>
          <w:rFonts w:cstheme="majorBidi"/>
        </w:rPr>
      </w:pPr>
      <w:r w:rsidRPr="00795921">
        <w:rPr>
          <w:rFonts w:cstheme="majorBidi"/>
        </w:rPr>
        <w:t>Read OD600 in synergy 2 (37°C, 1200RPM</w:t>
      </w:r>
      <w:r>
        <w:rPr>
          <w:rFonts w:cstheme="majorBidi"/>
        </w:rPr>
        <w:t xml:space="preserve"> continuous shaking</w:t>
      </w:r>
      <w:r w:rsidRPr="00795921">
        <w:rPr>
          <w:rFonts w:cstheme="majorBidi"/>
        </w:rPr>
        <w:t xml:space="preserve">, every </w:t>
      </w:r>
      <w:r w:rsidR="00234AEF">
        <w:rPr>
          <w:rFonts w:cstheme="majorBidi"/>
        </w:rPr>
        <w:t>5</w:t>
      </w:r>
      <w:r w:rsidRPr="00795921">
        <w:rPr>
          <w:rFonts w:cstheme="majorBidi"/>
        </w:rPr>
        <w:t xml:space="preserve">min, </w:t>
      </w:r>
      <w:r w:rsidR="00234AEF">
        <w:rPr>
          <w:rFonts w:cstheme="majorBidi"/>
        </w:rPr>
        <w:t>22</w:t>
      </w:r>
      <w:r w:rsidRPr="00795921">
        <w:rPr>
          <w:rFonts w:cstheme="majorBidi"/>
        </w:rPr>
        <w:t>hr)</w:t>
      </w:r>
    </w:p>
    <w:p w14:paraId="46D99BCB" w14:textId="1A6F6D2B" w:rsidR="0034786D" w:rsidRPr="00795921" w:rsidRDefault="0034786D" w:rsidP="0034786D">
      <w:pPr>
        <w:pStyle w:val="ListParagraph"/>
        <w:numPr>
          <w:ilvl w:val="0"/>
          <w:numId w:val="4"/>
        </w:numPr>
        <w:spacing w:after="0" w:line="276" w:lineRule="auto"/>
        <w:rPr>
          <w:rFonts w:cstheme="majorBidi"/>
        </w:rPr>
      </w:pPr>
      <w:r w:rsidRPr="00795921">
        <w:rPr>
          <w:rFonts w:cstheme="majorBidi"/>
        </w:rPr>
        <w:t xml:space="preserve">Read OD600 </w:t>
      </w:r>
      <w:r>
        <w:rPr>
          <w:rFonts w:cstheme="majorBidi"/>
        </w:rPr>
        <w:t xml:space="preserve">of static plate </w:t>
      </w:r>
      <w:r w:rsidRPr="00795921">
        <w:rPr>
          <w:rFonts w:cstheme="majorBidi"/>
        </w:rPr>
        <w:t>in synergy 2 (</w:t>
      </w:r>
      <w:r>
        <w:rPr>
          <w:rFonts w:cstheme="majorBidi"/>
        </w:rPr>
        <w:t>T</w:t>
      </w:r>
      <w:r w:rsidR="00306BE7">
        <w:rPr>
          <w:rFonts w:cstheme="majorBidi"/>
          <w:vertAlign w:val="subscript"/>
        </w:rPr>
        <w:t>end</w:t>
      </w:r>
      <w:r w:rsidRPr="00795921">
        <w:rPr>
          <w:rFonts w:cstheme="majorBidi"/>
        </w:rPr>
        <w:t>)</w:t>
      </w:r>
    </w:p>
    <w:p w14:paraId="379D3E18" w14:textId="77777777" w:rsidR="00D16304" w:rsidRPr="00D16304" w:rsidRDefault="00D16304" w:rsidP="00D16304">
      <w:pPr>
        <w:spacing w:after="0" w:line="276" w:lineRule="auto"/>
        <w:rPr>
          <w:rFonts w:cstheme="majorBidi"/>
        </w:rPr>
      </w:pPr>
    </w:p>
    <w:p w14:paraId="23456A5A" w14:textId="77777777" w:rsidR="003955F9" w:rsidRDefault="003955F9" w:rsidP="003955F9"/>
    <w:sectPr w:rsidR="00395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00EB"/>
    <w:multiLevelType w:val="hybridMultilevel"/>
    <w:tmpl w:val="5388D898"/>
    <w:lvl w:ilvl="0" w:tplc="EA94F5D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66462"/>
    <w:multiLevelType w:val="multilevel"/>
    <w:tmpl w:val="BD1A06D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94E5426"/>
    <w:multiLevelType w:val="hybridMultilevel"/>
    <w:tmpl w:val="1CCE545A"/>
    <w:lvl w:ilvl="0" w:tplc="D5E67578">
      <w:numFmt w:val="bullet"/>
      <w:lvlText w:val=""/>
      <w:lvlJc w:val="left"/>
      <w:pPr>
        <w:ind w:left="1080" w:hanging="360"/>
      </w:pPr>
      <w:rPr>
        <w:rFonts w:ascii="Wingdings" w:eastAsiaTheme="minorHAnsi"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B5D37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63387"/>
    <w:multiLevelType w:val="hybridMultilevel"/>
    <w:tmpl w:val="FC5C1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709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E36487"/>
    <w:multiLevelType w:val="hybridMultilevel"/>
    <w:tmpl w:val="AE2C79FA"/>
    <w:lvl w:ilvl="0" w:tplc="5E74227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E11368"/>
    <w:multiLevelType w:val="hybridMultilevel"/>
    <w:tmpl w:val="0F86F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906C0"/>
    <w:multiLevelType w:val="hybridMultilevel"/>
    <w:tmpl w:val="48F8B7AA"/>
    <w:lvl w:ilvl="0" w:tplc="ADAE8C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3"/>
  </w:num>
  <w:num w:numId="5">
    <w:abstractNumId w:val="4"/>
  </w:num>
  <w:num w:numId="6">
    <w:abstractNumId w:val="6"/>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C7"/>
    <w:rsid w:val="00056146"/>
    <w:rsid w:val="00062BFB"/>
    <w:rsid w:val="000914E3"/>
    <w:rsid w:val="00112350"/>
    <w:rsid w:val="00113E26"/>
    <w:rsid w:val="00114FBF"/>
    <w:rsid w:val="00125758"/>
    <w:rsid w:val="00151B0D"/>
    <w:rsid w:val="00180673"/>
    <w:rsid w:val="00194467"/>
    <w:rsid w:val="001D7B00"/>
    <w:rsid w:val="002239C8"/>
    <w:rsid w:val="00234AEF"/>
    <w:rsid w:val="00287758"/>
    <w:rsid w:val="00296DC8"/>
    <w:rsid w:val="002D6794"/>
    <w:rsid w:val="00306BE7"/>
    <w:rsid w:val="0034786D"/>
    <w:rsid w:val="00352901"/>
    <w:rsid w:val="003955F9"/>
    <w:rsid w:val="003C67FD"/>
    <w:rsid w:val="003E1E64"/>
    <w:rsid w:val="00426E71"/>
    <w:rsid w:val="00443319"/>
    <w:rsid w:val="00454467"/>
    <w:rsid w:val="004737DD"/>
    <w:rsid w:val="004B057C"/>
    <w:rsid w:val="004D06B2"/>
    <w:rsid w:val="004D3DC7"/>
    <w:rsid w:val="00516CBF"/>
    <w:rsid w:val="005521D1"/>
    <w:rsid w:val="005905F8"/>
    <w:rsid w:val="005E06DD"/>
    <w:rsid w:val="005E175E"/>
    <w:rsid w:val="005E52F8"/>
    <w:rsid w:val="00610113"/>
    <w:rsid w:val="006468A7"/>
    <w:rsid w:val="006B58A0"/>
    <w:rsid w:val="00735BD3"/>
    <w:rsid w:val="0078769C"/>
    <w:rsid w:val="007C71CF"/>
    <w:rsid w:val="007D0411"/>
    <w:rsid w:val="0080796D"/>
    <w:rsid w:val="00822E1E"/>
    <w:rsid w:val="00841FB0"/>
    <w:rsid w:val="00843B16"/>
    <w:rsid w:val="008665E1"/>
    <w:rsid w:val="0088180E"/>
    <w:rsid w:val="008B57F7"/>
    <w:rsid w:val="008C0E88"/>
    <w:rsid w:val="008C67FD"/>
    <w:rsid w:val="008F2691"/>
    <w:rsid w:val="00900B83"/>
    <w:rsid w:val="0096109E"/>
    <w:rsid w:val="0096303A"/>
    <w:rsid w:val="009655AF"/>
    <w:rsid w:val="00980F72"/>
    <w:rsid w:val="0099457E"/>
    <w:rsid w:val="009E20AF"/>
    <w:rsid w:val="009F2E44"/>
    <w:rsid w:val="00A12836"/>
    <w:rsid w:val="00A412AA"/>
    <w:rsid w:val="00AB65DC"/>
    <w:rsid w:val="00B21413"/>
    <w:rsid w:val="00B23526"/>
    <w:rsid w:val="00B6614E"/>
    <w:rsid w:val="00B72A8A"/>
    <w:rsid w:val="00BC7A68"/>
    <w:rsid w:val="00BD3314"/>
    <w:rsid w:val="00BF3E54"/>
    <w:rsid w:val="00C654FA"/>
    <w:rsid w:val="00C95EA0"/>
    <w:rsid w:val="00CB06FE"/>
    <w:rsid w:val="00D0279A"/>
    <w:rsid w:val="00D16304"/>
    <w:rsid w:val="00D3137A"/>
    <w:rsid w:val="00D35FD0"/>
    <w:rsid w:val="00DB1831"/>
    <w:rsid w:val="00DF6F77"/>
    <w:rsid w:val="00E66EAD"/>
    <w:rsid w:val="00E71F08"/>
    <w:rsid w:val="00E87C14"/>
    <w:rsid w:val="00EA224A"/>
    <w:rsid w:val="00EC3994"/>
    <w:rsid w:val="00EE43F2"/>
    <w:rsid w:val="00F60E36"/>
    <w:rsid w:val="00F61C20"/>
    <w:rsid w:val="00F63BEC"/>
    <w:rsid w:val="00F71D7F"/>
    <w:rsid w:val="00F867E7"/>
    <w:rsid w:val="00F94C69"/>
    <w:rsid w:val="00FB1794"/>
    <w:rsid w:val="00FB447F"/>
    <w:rsid w:val="00FB72C4"/>
    <w:rsid w:val="00FE2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6791"/>
  <w15:chartTrackingRefBased/>
  <w15:docId w15:val="{AA599F39-DB62-4BBB-9B8F-8BFEC36A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Bidi" w:eastAsiaTheme="minorHAnsi" w:hAnsiTheme="majorBidi"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6794"/>
    <w:rPr>
      <w:color w:val="0000FF"/>
      <w:u w:val="single"/>
    </w:rPr>
  </w:style>
  <w:style w:type="paragraph" w:styleId="ListParagraph">
    <w:name w:val="List Paragraph"/>
    <w:basedOn w:val="Normal"/>
    <w:uiPriority w:val="34"/>
    <w:qFormat/>
    <w:rsid w:val="00A412AA"/>
    <w:pPr>
      <w:ind w:left="720"/>
      <w:contextualSpacing/>
    </w:pPr>
  </w:style>
  <w:style w:type="character" w:styleId="PlaceholderText">
    <w:name w:val="Placeholder Text"/>
    <w:basedOn w:val="DefaultParagraphFont"/>
    <w:uiPriority w:val="99"/>
    <w:semiHidden/>
    <w:rsid w:val="005E17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45433">
      <w:bodyDiv w:val="1"/>
      <w:marLeft w:val="0"/>
      <w:marRight w:val="0"/>
      <w:marTop w:val="0"/>
      <w:marBottom w:val="0"/>
      <w:divBdr>
        <w:top w:val="none" w:sz="0" w:space="0" w:color="auto"/>
        <w:left w:val="none" w:sz="0" w:space="0" w:color="auto"/>
        <w:bottom w:val="none" w:sz="0" w:space="0" w:color="auto"/>
        <w:right w:val="none" w:sz="0" w:space="0" w:color="auto"/>
      </w:divBdr>
    </w:div>
    <w:div w:id="377172345">
      <w:bodyDiv w:val="1"/>
      <w:marLeft w:val="0"/>
      <w:marRight w:val="0"/>
      <w:marTop w:val="0"/>
      <w:marBottom w:val="0"/>
      <w:divBdr>
        <w:top w:val="none" w:sz="0" w:space="0" w:color="auto"/>
        <w:left w:val="none" w:sz="0" w:space="0" w:color="auto"/>
        <w:bottom w:val="none" w:sz="0" w:space="0" w:color="auto"/>
        <w:right w:val="none" w:sz="0" w:space="0" w:color="auto"/>
      </w:divBdr>
    </w:div>
    <w:div w:id="504512267">
      <w:bodyDiv w:val="1"/>
      <w:marLeft w:val="0"/>
      <w:marRight w:val="0"/>
      <w:marTop w:val="0"/>
      <w:marBottom w:val="0"/>
      <w:divBdr>
        <w:top w:val="none" w:sz="0" w:space="0" w:color="auto"/>
        <w:left w:val="none" w:sz="0" w:space="0" w:color="auto"/>
        <w:bottom w:val="none" w:sz="0" w:space="0" w:color="auto"/>
        <w:right w:val="none" w:sz="0" w:space="0" w:color="auto"/>
      </w:divBdr>
    </w:div>
    <w:div w:id="85572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558-5646.2007.00260.x" TargetMode="External"/><Relationship Id="rId3" Type="http://schemas.openxmlformats.org/officeDocument/2006/relationships/settings" Target="settings.xml"/><Relationship Id="rId7" Type="http://schemas.openxmlformats.org/officeDocument/2006/relationships/hyperlink" Target="https://onlinelibrary.wiley.com/doi/full/10.1111/j.1558-5646.2007.00260.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full/10.1111/j.1558-5646.2007.00260.x" TargetMode="External"/><Relationship Id="rId5" Type="http://schemas.openxmlformats.org/officeDocument/2006/relationships/hyperlink" Target="https://onlinelibrary.wiley.com/doi/full/10.1111/j.1558-5646.2007.00260.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Daniel</dc:creator>
  <cp:keywords/>
  <dc:description/>
  <cp:lastModifiedBy>Schwartz, Daniel</cp:lastModifiedBy>
  <cp:revision>87</cp:revision>
  <cp:lastPrinted>2020-09-16T16:09:00Z</cp:lastPrinted>
  <dcterms:created xsi:type="dcterms:W3CDTF">2020-09-15T17:06:00Z</dcterms:created>
  <dcterms:modified xsi:type="dcterms:W3CDTF">2020-09-16T17:26:00Z</dcterms:modified>
</cp:coreProperties>
</file>