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pPr>
        <w:pStyle w:val="Heading2"/>
      </w:pPr>
      <w:r>
        <w:t>Mission guidance</w:t>
      </w:r>
    </w:p>
    <w:p>
      <w:pPr/>
      <w:r>
        <w:t>One persistent tracker below the upper-left HUD names the tracked mission and location. Solar missions show separate read-only checkboxes for orbit, Common Ore delivered to the ship, and the artifact brought aboard. Active surface and saved survey progress mark orbit complete. Ore and artifact goals remain independent; the artifact row explains the ore-first gate. Short contextual instructions appear when needed, and ready rewards add a claim goal. It remains visible during travel, orbit, landing, mining and docking, but yields to full-screen messages and cinematics. Actual step changes briefly highlight the tracker; repeated reminders and automatic mission rotation are avoided. Survival warnings retain priority.</w:t>
      </w:r>
    </w:p>
    <w:p>
      <w:pPr/>
      <w:r>
        <w:t>The first Moon orbital scan uses the existing paused scan result to explain the whole assignment: land in the labeled mission sector, deliver 20 Common Ore to the ship, pulse the surface scanner, then recover and bring the artifact aboard. A labeled MISSION LANDING SITE outline identifies the real sector without disclosing underground depth. In that sector the primary action is Land at mission site; elsewhere it is Resume flight to mission sector, with landing elsewhere available. Preparing a shaft is optional. Landing eligibility and the release-before-next-action input fence still apply.</w:t>
      </w:r>
    </w:p>
    <w:p>
      <w:pPr/>
      <w:r>
        <w:t>Missions sits alongside Map and opens from the tracker. Discovered campaign missions and available optional objectives show purpose, destination, ordered requirements, completion states and existing rewards. Completed entries are collapsed. Track mission selects one objective without engaging cruise; a manual exploration waypoint remains until Return to mission explicitly restores guidance. Campaign tracking advances at the existing claim boundary. Straylight discovery, activation, evacuation and departure retain their explicit actions and priority.</w:t>
      </w:r>
    </w:p>
    <w:p>
      <w:pPr/>
      <w:r>
        <w:t>Mission presentation is derived from existing scenario counters, surveys and physical artifact ownership. Ore counts advance on delivery, not excavation or rig cargo. Exposed and tethered artifacts remain incomplete; aboard ship, banked, wreck recovery and ready-to-claim states stay distinct. A missing artifact points to its named wreck. Saved tracking and first-scan introduction state survive reload; an interrupted introduction resumes, completed explanations stay in the log, and established legacy campaigns skip the opening explanation.</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make A/D strafe relative to the ship without mouse steering; release Shift to restore keyboard rotation. Q/E have no flight binding. On controller, right-stick horizontal input rotates proportionally; the left stick controls lateral and forward/reverse thrust. Bumpers and right-stick vertical input do not steer flight. Moving the mouse does not change the ship heading. UI and cinematic takeovers suspend gameplay input.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The mining Rig turns toward the mouse without holding Shift. WASD or arrows move in screen directions regardless of drill heading: W/Up moves up, S/Down moves down, and A/D or Left/Right move sideways. Shift does not change mining controls. On controller, the left stick moves in screen directions regardless of drill heading. The right stick points the drill in any screen direction, including diagonals; centering it holds the current heading. Turning follows the shortest angular path, with exactly opposite targets turning clockwise. Stick deflection does not scale turning speed; the existing controller deadzone applies. Mouse aiming uses the rendered Rig center and a small dead zone. UI hover and gameplay interruptions suspend mouse aiming. Rotation retains damped hull motion and terrain collision checks. EVA keeps WASD/arrows or left-stick movement.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Removing the terrain beneath the parked ship lets it fall under landing gravity. Its upright hull sweeps the full landing width and settles on the next supporting surface, including across cached depth layers. Ship services, return guidance and departure follow its physical location; the original surface reference remains fixed. Saves retain its position and falling velocity.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later ship loss opens a saved, explicitly acknowledged salvage explanation at the home dock. Artifact-bearing wrecks use a purple diamond and an Artifact / Wreck label in flight and waypoint guidance. After recovering the artifact, any remaining ore wreck returns to its ordinary marker. Nearby salvage controls explain speed matching and full-hold recovery of artifacts and upgrades. Earth Storage remains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The first scan names the mission sector and explains ore-before-artifact recovery; the persistent tracker and Missions log share authoritative progress. Further first-time-player observation should refine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