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 Each body applies capped inverse-square gravity inside its authored influence radius, then smoothly fades to zero by 1.1 times that radius. Bodies beyond this boundary exert no pull; live flight and forecasts share the same calculation. Local landing gravity remains separate. The asteroid belt retains at least 8U of collision-free clearance beyond every planet and moon influence radius, including both ship and asteroid collision radii, in every travel direction. Conflicting rocks are filtered without moving the remaining rocks or changing belt bounds. Inward/outward warnings, swept collision and manual braking remain.</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F or controller North salvages the one eligible nearby wreck; a short world-anchored prompt appears only in range and offers Match speed when necessary. Cruise state stays with flight telemetry instead of a bottom action bar.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pPr>
        <w:pStyle w:val="Heading2"/>
      </w:pPr>
      <w:r>
        <w:t>Mission guidance</w:t>
      </w:r>
    </w:p>
    <w:p>
      <w:pPr/>
      <w:r>
        <w:t>One persistent tracker below the upper-left HUD names the tracked mission and location. Required Io commissioning and other live mission actions stay in the tracker or log when the flight action bar is absent. Solar missions show separate read-only checkboxes for orbit, Common Ore delivered to the ship, and the artifact brought aboard. Active surface and saved survey progress mark orbit complete. Ore and artifact goals remain independent; the artifact row explains the ore-first gate. Short contextual instructions appear when needed, and ready rewards add a claim goal. It remains visible during travel, orbit, landing, mining and docking, but yields to full-screen messages and cinematics. Actual step changes briefly highlight the tracker; repeated reminders and automatic mission rotation are avoided. Survival warnings retain priority.</w:t>
      </w:r>
    </w:p>
    <w:p>
      <w:pPr/>
      <w:r>
        <w:t>The first Moon orbital scan uses the existing paused scan result to explain the whole assignment: land in the labeled mission sector, deliver 20 Common Ore to the ship, pulse the surface scanner, then recover and bring the artifact aboard. A labeled MISSION LANDING SITE outline identifies the real sector without disclosing underground depth. In that sector the primary action is Land at mission site; elsewhere it is Resume flight to mission sector, with landing elsewhere available. Preparing a shaft is optional. Landing eligibility and the release-before-next-action input fence still apply.</w:t>
      </w:r>
    </w:p>
    <w:p>
      <w:pPr/>
      <w:r>
        <w:t>Missions sits alongside Map and opens from the tracker. Shared mission guidance resolves the actual artifact custody: aboard or banked awaiting claim targets its required Earth or Straylight dock; wreck custody targets the named artifact wreck; claiming or accepting the next assignment selects its destination. Capture, departure, loss, respawn, salvage, banking, claim and reload reconcile this guidance in the current system. Explicit exploration waypoints survive routine handoffs, including crashes and arrival, until Return to mission, Track mission, or target invalidation. Automatic targeting never engages cruise. Story navigation and confirmations remain explicit. Player-facing landing areas are called Sector; saved zone identifiers do not change.</w:t>
      </w:r>
    </w:p>
    <w:p>
      <w:pPr/>
      <w:r>
        <w:t>Mission presentation is derived from existing scenario counters, surveys and physical artifact ownership. Ore counts advance on delivery, not excavation or rig cargo. Exposed and tethered artifacts remain incomplete; aboard ship, banked, wreck recovery and ready-to-claim states stay distinct. A missing artifact points to its named wreck. Saved tracking and first-scan introduction state survive reload; an interrupted introduction resumes, completed explanations stay in the log, and established legacy campaigns skip the opening explanation.</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Shaft selection avoids artifacts and authored objective structures. Once selected, every ordinary terrain tile in its path is destroyed, including bedrock and fuel/oxygen pockets; ore chunks retain their drops, while supply pockets and bedrock provide no rewards. After the Moon tutorial, campaign-sector shafts stop at a rig-sized entrance near the top of the artifact layer, even with higher Bore ranks. Intervening layers remain accessible. A fresh site retains a deliberate mineable approach to the protected objective perimeter; existing excavation is never refilled. The corrected introductory Moon shaft is unchanged. Resume Flight, Escape/controller East or steering/thrust exits inspection; sector progress persists independently.</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 Initial landing descent and boarded ship flight share the local close-up safeguard: floor interest is limited to six cells horizontally and eight cells below the ship. Distant or missing shaft floors cannot zoom out to fit the full excavation; ship, terrain, markers and pointer coordinates use the same surface transform.</w:t>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engaged. The shared 8 m/s powered-ascent governor applies from underground ignition, including manual keyboard/controller throttle and angled flight. It smoothly reduces excess acceleration rather than snapping velocity, preserving steering, lateral movement, braking and throttle response. Crossing 46 m above the surface origin at at least 2 m/s upward exits to orbit. Held thrust continues through the handoff and normal space acceleration blends back over 1.25 seconds. Sustained outward thrust can still leave orbit; capture remains player-controlled. Underground ship descent, falling-ore collection, parking and takeoff remain available wherever physical clearance permits.</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turns toward the mouse without holding Shift. WASD or arrows move in screen directions regardless of drill heading: W/Up moves up, S/Down moves down, and A/D or Left/Right move sideways. Shift does not change mining controls. On controller, the left stick moves in screen directions regardless of drill heading. The right stick points the drill in any screen direction, including diagonals; centering it holds the current heading. Turning follows the shortest angular path, with exactly opposite targets turning clockwise. Stick deflection does not scale turning speed; the existing controller deadzone applies. Mouse aiming uses the rendered Rig center and a small dead zone. UI hover and gameplay interruptions suspend mouse aiming.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A compact clickable Ship Services list appears beside the ship only while the player is in its service zone. It shows relevant banking, scanning, repairs with costs, Drone Ops, waiting for drones, and departure; departure warns of drones or cargo left behind. Controller D-pad Up opens Drone Ops, Right waits, and held Down departs; Left retains panel focus. A fresh press is required after entering the zone, switching devices, or leaving a menu.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 Permanent prices use fixed rank bands across saves: Fuel Tanks, Flight Controls, Engine Cooling, Hull and Rig Fuel Loop cost 35 / 105 / 210 credits for ranks I / II / III; Survey Array and Bore each cost 40 / 90 / 115. Purchases and balances persist unchanged. Normal successful missions budget the next required depth pair plus roughly one optional upgrade; perfect flight and optional exploration supply surplus. Arrival rewards use a saved per-body receipt; scanning, revisiting, banking and reloading do not duplicate them. No ore-selling or mandatory grinding is introduced.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Mission</w:t>
            </w:r>
          </w:p>
        </w:tc>
        <w:tc>
          <w:tcPr>
            <w:tcW w:type="dxa" w:w="1872"/>
          </w:tcPr>
          <w:p>
            <w:r>
              <w:t>Orbit</w:t>
            </w:r>
          </w:p>
        </w:tc>
        <w:tc>
          <w:tcPr>
            <w:tcW w:type="dxa" w:w="1872"/>
          </w:tcPr>
          <w:p>
            <w:r>
              <w:t>Carried then banked</w:t>
            </w:r>
          </w:p>
        </w:tc>
        <w:tc>
          <w:tcPr>
            <w:tcW w:type="dxa" w:w="1872"/>
          </w:tcPr>
          <w:p>
            <w:r>
              <w:t>Purchases</w:t>
            </w:r>
          </w:p>
        </w:tc>
        <w:tc>
          <w:tcPr>
            <w:tcW w:type="dxa" w:w="1872"/>
          </w:tcPr>
          <w:p>
            <w:r>
              <w:t>Balance</w:t>
            </w:r>
          </w:p>
        </w:tc>
      </w:tr>
      <w:tr>
        <w:tc>
          <w:tcPr>
            <w:tcW w:type="dxa" w:w="1872"/>
          </w:tcPr>
          <w:p>
            <w:r>
              <w:t>Moon</w:t>
            </w:r>
          </w:p>
        </w:tc>
        <w:tc>
          <w:tcPr>
            <w:tcW w:type="dxa" w:w="1872"/>
          </w:tcPr>
          <w:p>
            <w:r>
              <w:t>18.00</w:t>
            </w:r>
          </w:p>
        </w:tc>
        <w:tc>
          <w:tcPr>
            <w:tcW w:type="dxa" w:w="1872"/>
          </w:tcPr>
          <w:p>
            <w:r>
              <w:t>56.55</w:t>
            </w:r>
          </w:p>
        </w:tc>
        <w:tc>
          <w:tcPr>
            <w:tcW w:type="dxa" w:w="1872"/>
          </w:tcPr>
          <w:p>
            <w:r>
              <w:t>Flight I 35</w:t>
            </w:r>
          </w:p>
        </w:tc>
        <w:tc>
          <w:tcPr>
            <w:tcW w:type="dxa" w:w="1872"/>
          </w:tcPr>
          <w:p>
            <w:r>
              <w:t>39.55</w:t>
            </w:r>
          </w:p>
        </w:tc>
      </w:tr>
      <w:tr>
        <w:tc>
          <w:tcPr>
            <w:tcW w:type="dxa" w:w="1872"/>
          </w:tcPr>
          <w:p>
            <w:r>
              <w:t>Mars</w:t>
            </w:r>
          </w:p>
        </w:tc>
        <w:tc>
          <w:tcPr>
            <w:tcW w:type="dxa" w:w="1872"/>
          </w:tcPr>
          <w:p>
            <w:r>
              <w:t>18.70</w:t>
            </w:r>
          </w:p>
        </w:tc>
        <w:tc>
          <w:tcPr>
            <w:tcW w:type="dxa" w:w="1872"/>
          </w:tcPr>
          <w:p>
            <w:r>
              <w:t>130.65</w:t>
            </w:r>
          </w:p>
        </w:tc>
        <w:tc>
          <w:tcPr>
            <w:tcW w:type="dxa" w:w="1872"/>
          </w:tcPr>
          <w:p>
            <w:r>
              <w:t>Survey I + Bore I 80; Flight II 105</w:t>
            </w:r>
          </w:p>
        </w:tc>
        <w:tc>
          <w:tcPr>
            <w:tcW w:type="dxa" w:w="1872"/>
          </w:tcPr>
          <w:p>
            <w:r>
              <w:t>3.90</w:t>
            </w:r>
          </w:p>
        </w:tc>
      </w:tr>
      <w:tr>
        <w:tc>
          <w:tcPr>
            <w:tcW w:type="dxa" w:w="1872"/>
          </w:tcPr>
          <w:p>
            <w:r>
              <w:t>Io</w:t>
            </w:r>
          </w:p>
        </w:tc>
        <w:tc>
          <w:tcPr>
            <w:tcW w:type="dxa" w:w="1872"/>
          </w:tcPr>
          <w:p>
            <w:r>
              <w:t>24.20</w:t>
            </w:r>
          </w:p>
        </w:tc>
        <w:tc>
          <w:tcPr>
            <w:tcW w:type="dxa" w:w="1872"/>
          </w:tcPr>
          <w:p>
            <w:r>
              <w:t>200.97</w:t>
            </w:r>
          </w:p>
        </w:tc>
        <w:tc>
          <w:tcPr>
            <w:tcW w:type="dxa" w:w="1872"/>
          </w:tcPr>
          <w:p>
            <w:r>
              <w:t>Survey II + Bore II 180; Hull I 35</w:t>
            </w:r>
          </w:p>
        </w:tc>
        <w:tc>
          <w:tcPr>
            <w:tcW w:type="dxa" w:w="1872"/>
          </w:tcPr>
          <w:p>
            <w:r>
              <w:t>14.07</w:t>
            </w:r>
          </w:p>
        </w:tc>
      </w:tr>
      <w:tr>
        <w:tc>
          <w:tcPr>
            <w:tcW w:type="dxa" w:w="1872"/>
          </w:tcPr>
          <w:p>
            <w:r>
              <w:t>Titan</w:t>
            </w:r>
          </w:p>
        </w:tc>
        <w:tc>
          <w:tcPr>
            <w:tcW w:type="dxa" w:w="1872"/>
          </w:tcPr>
          <w:p>
            <w:r>
              <w:t>28.60</w:t>
            </w:r>
          </w:p>
        </w:tc>
        <w:tc>
          <w:tcPr>
            <w:tcW w:type="dxa" w:w="1872"/>
          </w:tcPr>
          <w:p>
            <w:r>
              <w:t>260.13</w:t>
            </w:r>
          </w:p>
        </w:tc>
        <w:tc>
          <w:tcPr>
            <w:tcW w:type="dxa" w:w="1872"/>
          </w:tcPr>
          <w:p>
            <w:r>
              <w:t>Survey III + Bore III 230; Cooling I 35</w:t>
            </w:r>
          </w:p>
        </w:tc>
        <w:tc>
          <w:tcPr>
            <w:tcW w:type="dxa" w:w="1872"/>
          </w:tcPr>
          <w:p>
            <w:r>
              <w:t>37.80</w:t>
            </w:r>
          </w:p>
        </w:tc>
      </w:tr>
      <w:tr>
        <w:tc>
          <w:tcPr>
            <w:tcW w:type="dxa" w:w="1872"/>
          </w:tcPr>
          <w:p>
            <w:r>
              <w:t>Titania</w:t>
            </w:r>
          </w:p>
        </w:tc>
        <w:tc>
          <w:tcPr>
            <w:tcW w:type="dxa" w:w="1872"/>
          </w:tcPr>
          <w:p>
            <w:r>
              <w:t>34.10</w:t>
            </w:r>
          </w:p>
        </w:tc>
        <w:tc>
          <w:tcPr>
            <w:tcW w:type="dxa" w:w="1872"/>
          </w:tcPr>
          <w:p>
            <w:r>
              <w:t>341.62</w:t>
            </w:r>
          </w:p>
        </w:tc>
        <w:tc>
          <w:tcPr>
            <w:tcW w:type="dxa" w:w="1872"/>
          </w:tcPr>
          <w:p>
            <w:r>
              <w:t>Flight III 210</w:t>
            </w:r>
          </w:p>
        </w:tc>
        <w:tc>
          <w:tcPr>
            <w:tcW w:type="dxa" w:w="1872"/>
          </w:tcPr>
          <w:p>
            <w:r>
              <w:t>203.52</w:t>
            </w:r>
          </w:p>
        </w:tc>
      </w:tr>
      <w:tr>
        <w:tc>
          <w:tcPr>
            <w:tcW w:type="dxa" w:w="1872"/>
          </w:tcPr>
          <w:p>
            <w:r>
              <w:t>Triton</w:t>
            </w:r>
          </w:p>
        </w:tc>
        <w:tc>
          <w:tcPr>
            <w:tcW w:type="dxa" w:w="1872"/>
          </w:tcPr>
          <w:p>
            <w:r>
              <w:t>41.80</w:t>
            </w:r>
          </w:p>
        </w:tc>
        <w:tc>
          <w:tcPr>
            <w:tcW w:type="dxa" w:w="1872"/>
          </w:tcPr>
          <w:p>
            <w:r>
              <w:t>462.84</w:t>
            </w:r>
          </w:p>
        </w:tc>
        <w:tc>
          <w:tcPr>
            <w:tcW w:type="dxa" w:w="1872"/>
          </w:tcPr>
          <w:p>
            <w:r>
              <w:t>Hull II 105</w:t>
            </w:r>
          </w:p>
        </w:tc>
        <w:tc>
          <w:tcPr>
            <w:tcW w:type="dxa" w:w="1872"/>
          </w:tcPr>
          <w:p>
            <w:r>
              <w:t>603.16</w:t>
            </w:r>
          </w:p>
        </w:tc>
      </w:tr>
    </w:tbl>
    <w:p>
      <w:r>
        <w:t>Measured normal campaign budget: zero opening credits, Good orbit grades, first successful landings, no optional exploration or repeat mining. Required ore and artifact claims add no credit sales. Orbit credits are spendable immediately; landing credits travel in ship cargo until banking and are at risk in wrecks. Displayed figures are rounded; internal balances retain precision. This example buys depth capabilities before the next deeper mission; optional purchases can be exchanged within the fixed rank bands.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ship loss gives one concise salvage explanation at the home dock. If an artifact was aboard, its named wreck becomes the mission target; the first artifact-bearing wreck uses the artifact-specific explanation instead of a second salvage card. Match speed within 2U to recover it, even with a full ore hold. Later losses update the tracker without replaying the lesson. Stored artifacts remain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 The Sun uses a shared transparent yellow-orange pixel-art texture with bright surface highlights and corona in flight and Straylight cinematics. Gameplay radius and navigation geometry remain unchanged; generation provenance accompanies the asset.</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use a portrait, title, short body and explicit acknowledgement. Fennec teaches the first launch, orbit, scanner, EVA crevice, orbital bore, and distinct hazards or drone unlocks. Routine Titan, Titania, Triton and optional assignments are accepted in the tracker or Missions log; ore, artifact, depth, sector and delivery state live in its checklist. The authored Fennec copy is roughly half its prior word count. Independent informational cards wait eight seconds of active gameplay and defer during drilling, combat, docking and local flight. The first hard touchdown explains hull damage at the safe landing pause; Moon/Mars combine it with their arrival card. Pending warnings expire after deployment, departure, destruction or a later landing. Acknowledgement never grants rewards or accepts a different mission.</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One world-anchored clickable action prompt appears beside the eligible artifact, Rig, fuel cell, or wreck; blocked targets show only a short prerequisite cue. The mining bottom rail keeps payload status but no command buttons. The marked mission sector, revealed artifact and relevant wreck markers pulse at a restrained rate; an in-range interactable becomes brighter and steady. Hidden objectives remain hidden.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opening retains concise launch and orbit instruction, cause-aware crash recovery, a short Moon/Mars touchdown gate, and contextual scanner, crevice and shaft lessons. First scan names the mission sector and ore-before-artifact order. Later routine assignments use the mission checklist and explicit Accept mission action without automatic Fennec briefing cards. Observe first-time players for clarity before adding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