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active-actor swarm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July 26,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tests, art inventory, Vulkan/WebGL2 architecture, controller support, the approved EVA/swarm design, and the Solar Jetman reference manuals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and WebGL2 build, including the current Jetpack EVA and transferable mini-drone swarm production slice</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PC-first C++20 space-mining roguelite with genuine native x86-64 Windows and Linux builds through SDL 3 and direct Vulkan 1.3, plus a separate Emscripten/WebGL2 browser build for parity testing and sharing. It starts as a NASA-arcade launch gamble, then grows into permanent ship systems, landings, surface expeditions, direct-control mining, Drone Bay loadouts, and an Ark campaign beyond the solar system. The repository and some internal identifiers retain the Rocket Rogue project name.</w:t>
      </w:r>
    </w:p>
    <w:p>
      <w:pPr>
        <w:spacing w:before="0" w:after="120" w:line="264" w:lineRule="auto"/>
      </w:pPr>
      <w:r>
        <w:t>The fantasy is escalation. A fragile launch program becomes Straylight, a traveling survival base. The mandatory route runs through Moon, Mars, Jupiter, Saturn, Uranus, and Neptune. Only after Neptune does the Straylight reveal take over the screen; Aaru Vale and Arkfall then begin the long push to New Earth.</w:t>
      </w:r>
    </w:p>
    <w:p>
      <w:pPr>
        <w:pStyle w:val="Heading2"/>
      </w:pPr>
      <w:r>
        <w:t>Mechanical Touchstone: Solar Jetman</w:t>
      </w:r>
    </w:p>
    <w:p>
      <w:pPr/>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pPr/>
      <w:r>
        <w:t>References: Original NES manual - https://www.gamingalexandria.com/highquality/NES/Solar%20Jetman/Solar%20Jetman%20-%20Manual%20%28Searchable%29.pdf ; official Rare Replay manual - https://dlassets-ssl.xboxlive.com/public/content/367297b7-c6a3-4496-83ad-cb70c52ce8cd/GameManual/2e5e2560-e901-414b-87fa-081a07f24c6c/en-SA/index.html#SolarJetman . OREBIT deliberately differs through voluntary EVA, twin-stick aiming, hand-drilled terrain, support drones, suit-only passages, explicit tether control, and an artifact-only exception to the suit's zero-cargo rule.</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Composite Instability, target-marker guidance, burn/failure debrief, telemetry, incidents, emergency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Repair, recruit, train, rest, saved refit opportunities, permanent Reach/Control/Recovery tracks, randomized post-Moon offers, crew stress, and animal specialists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Flyby, orbit, landing gates, saved first-use briefs, rewards, slingshot boosts, and save resume behavior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r>
              <w:t>Direct-control mining now supports Rig and Jetpack operator modes, destination gravity and inertia, twin-stick aim, sidearm and hand drill actions, artifact tethering, loose chunks, suit-only routes, emergency ejection, and active-actor HUD/effects. Physical Steam Deck control and readability remain a release gate.</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t>Playable / validation</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and persistent loadouts remain in place. Equipped mini drones are independent world entities whose logical anchor transfers to the controlled rig or operator; they follow, orbit, defend, perform bounded sorties, and preserve haul, shields, cooldowns, and formation identity across actor and depth transitions.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Playable / expanding</w:t>
            </w:r>
          </w:p>
        </w:tc>
        <w:tc>
          <w:tcPr>
            <w:tcW w:type="dxa" w:w="5860"/>
            <w:tcMar>
              <w:top w:w="35" w:type="dxa"/>
              <w:start w:w="85" w:type="dxa"/>
              <w:bottom w:w="35" w:type="dxa"/>
              <w:end w:w="85" w:type="dxa"/>
            </w:tcMar>
            <w:vAlign w:val="center"/>
            <w:shd w:fill="FFFFFF"/>
          </w:tcPr>
          <w:p>
            <w:r>
              <w:t>Chapters 1-7, the Chapter 8 Rift Belt placeholder, Neptune-only Straylight discovery, Aaru Vale, Arkfall, Navigation, and hostile sorties are implemented; Chapters 9-10 remain future work.</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mini-drone roles, the heroic Capybara portrait, and the static jetpack Capybara operator. Authored operator animation remains future work.</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The Moon preserves that proving-flight story while adding an explicit 30-Common-Ore Prospector contract. Mars turns the lesson into repeated 30-second pressure mining with oxygen, drill heat, integrity, repairs, cargo, return decisions, research, extraction, and a claimed second Drone Bay slot. Jupiter remains the stable travel destination, but landed work takes place on Io: its inert regolith pays nothing, its Thermal lava is the only ore source, and Hazard Mk I opens a layered artifact site. A claimed Perfect Jupiter slingshot permanently opens the one-way Saturn route. Saturn, Uranus, and Neptune then remain mandatory individual arrivals. Before Neptune there is no Straylight name, contact, silhouette, signal, art, or Ark-return framing. Successful Neptune arrival persists a full-screen discovery briefing whose sole Approach action identifies the derelict-but-operable Straylight as the expedition's first viable home and resumes Neptune Arrival Ops. Its first jump reaches Aaru Vale. The next jump fails near Khepri Prime, turning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Spend one saved refit opportunity on a permanent Reach, Control, or Recovery system - or keep the credits - then repair, recruit, train, or rest before the next attempt.</w:t>
      </w:r>
    </w:p>
    <w:p>
      <w:pPr>
        <w:pStyle w:val="ListNumber"/>
      </w:pPr>
      <w:r>
        <w:t>When reaching the Moon or beyond, resolve arrival operations, the current mandatory campaign objective, surface decisions, mining, and extraction; broader research begins at Mars.</w:t>
      </w:r>
    </w:p>
    <w:p>
      <w:pPr>
        <w:pStyle w:val="ListNumber"/>
      </w:pPr>
      <w:r>
        <w:t>Spend recovered materials, artifacts, research, and drones to open new builds.</w:t>
      </w:r>
    </w:p>
    <w:p>
      <w:pPr>
        <w:pStyle w:val="ListNumber"/>
      </w:pPr>
      <w:r>
        <w:t>Progress from Earth Orbit to Moon, Mars, Jupiter/Io, Saturn, Uranus, and Neptune in order. Moon, Mars, Io, and the Saturn transfer are authored scenario definitions: each owns its briefing, visible objective, explicit claim, reward preview, and route key. The delivery, reward, cocoon, Flyby, and route systems remain generic so future authored or procedural scenarios can compose the same mechanics without a new campaign-specific code path.</w:t>
      </w:r>
    </w:p>
    <w:p>
      <w:pPr>
        <w:pStyle w:val="Heading2"/>
      </w:pPr>
      <w:r>
        <w:t>Launch Loop</w:t>
      </w:r>
    </w:p>
    <w:p>
      <w:pPr>
        <w:spacing w:before="0" w:after="120" w:line="264" w:lineRule="auto"/>
      </w:pPr>
      <w:r>
        <w:t>Launch is the primary pressure engine. The yellow marker is a performance target, not a safety boundary. The player watches multiplier, route progress, system telemetry, a composite Instability warning, return risk, and seeded incidents while deciding whether to return, overburn, cut engines, open the relief valve, jettison cargo, or eject. Instability reaches at least 65% by 94% hidden-failure proximity and 90% by 98.5%; the debrief compares burn depth with the revealed failure point.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Build enduring Reach, Control, Recovery, and later mining support while managing expedition outages.</w:t>
            </w:r>
            <w:r>
              <w:rPr>
                <w:rFonts w:ascii="Calibri" w:hAnsi="Calibri"/>
                <w:sz w:val="18"/>
              </w:rPr>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Optional activities retain saved first-use help, while authored campaign steps use mandatory non-dismissible briefings, visible LOCKED/ACTIVE/READY TO CLAIM/COMPLETE objectives, and named claim actions. The Moon requires 30 safely delivered local Common Ore before Install Prospector Mk I grants the first Mining Support Drone, Slot 1, and the Mars route key. Mars requires 40 local Common Ore before Fabricate Drone Bay Slot 2 opens an empty specialist slot and grants the Jupiter route key; its briefing explicitly introduces oxygen, drill heat, integrity wear, field repairs, cargo, and the return decision. Io commissions Hazard Mk I, launches a configured two-layer lava cocoon around a protected objective, and awards one player-selected Support Drone upgrade credit after safe extraction. A dedicated Perfect Jupiter Flyby scenario then makes the Saturn route claimable. A route that has an authored unlock requirement never adds a hidden Flight Data requirement after that key is claimed. Mars remains the first broad research frontier.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blueprint progression and permanent shipyard upgrades.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blueprint progression; perfect orbits show science and mission credits.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fuel-only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fuel-only deployment per surface loop and begins in the player-controlled Mining Rig; autonomous bay units are Support Drones. Ordinary Regolith breaks only to make a path and never yields material. Common Ore uses a gray/silver body and shimmer, while gold marks Rare Ore. The Io scenario configures a Thermal-lava site: no Cryo or direct ore deposits, deterministic lava-to-Common treatment, and a 60-second baseline for its introductory protected-objective recovery while normal missions retain 30 seconds. Layered cocoons are reusable site definitions: layers define their patterns, reveal triggers, hazard affinity, drilling rule, presentation label, and protected-objective adapter; mechanics do not recognize an artifact or destination ID. Both rig and operator use inertial fixed-step movement under vector-valued destination gravity. The rig moves at 7.2 cells/s maximum with 14 cells/s2 acceleration, 20 cells/s2 braking, and a 0.48-cell collider. The suit moves at 4.6 cells/s maximum with 28 cells/s2 acceleration, 24 cells/s2 braking, and a 0.25-cell collider. Base gravity is 6 cells/s2 multiplied by the destination's gravity scale; direction and strength are stored separately so later local or inverted fields do not require a state redesign.</w:t>
      </w:r>
    </w:p>
    <w:p>
      <w:pPr/>
      <w:r>
        <w:t>Rig controls remain unchanged. In EVA, WASD or the left stick thrusts; the mouse or right stick aims independently; left click or R2/RT fires the automatic sidearm; right click or L2/LT runs the hand drill; E/X scans; T/Y toggles the artifact tether; and F immediately exits or enters. Holding A for 0.6 seconds exits or enters with an EXIT/ENTER progress ring around the rig, while a shorter A release retains the existing bank/leave action. Held actions clear on pause, modal entry, focus loss, disconnect, and input-source switching.</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r>
        <w:t>The suit has fixed equipment and no upgrades, ammunition, propellant, or fall damage. Its 1.2-cell hand drill uses 45% of base rig power and the existing heat model; scanner and tether use base radius and range without rig bonuses. The infinite sidearm deals 2.4 damage to the first valid hit within 8 cells, fires immediately and every 0.18 seconds, never pierces or critically hits, and caps terrain output at 30% of the hand drill. It cannot damage the rig, shuttle, artifact, or mini drones.</w:t>
      </w:r>
    </w:p>
    <w:p>
      <w:pPr/>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pPr/>
      <w:r>
        <w:t>Suit-only passages admit the operator and mini drones but block the rig and artifact. The operator may change depth while the parked rig stays on its layer; the operator, validly tethered artifact, and swarm transition together. Runs start in the rig. Exit needs a safe adjacent suit position; entry needs the same layer within 1.25 cells. Rig destruction emergency-ejects the operator safely and disables the wreck before combat updates. Cargo stays with the wreck, banked payload stays safe, and an operator-tethered artifact stays attached.</w:t>
      </w:r>
    </w:p>
    <w:p>
      <w:pPr/>
      <w:r>
        <w:t>Normal extraction requires a functioning rig and operator in the return zone. After emergency ejection, the shuttle ends the deployment safely and may bank a physically delivered artifact. Zero suit integrity releases the tether, freezes the swarm, and ends the run; shuttle repair spends banked Common material.</w:t>
      </w:r>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uses unique permanent systems and saved refit opportunities, not replacement parts or a persistent shop. Before the Moon, each useful flight offers the next unowned Reach, Control, and Recovery rank with explicit prerequisites and no reroll; after the Moon, randomized boards prefer one candidate from each role when possible. Buying a system applies its deltas once. Expedition damage can take it offline for the current ship, but ownership survives replacement. Later cards must state the threat answered, primary number moved, price, and tradeoff.</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permanent system families, crew facilities, surface tools, Support Drone systems, and Ark repair hooks. A protected-objective adapter determines a payload's reward: the current Io minor artifact is explicitly not Ark-repair progress and safe extraction grants one persistent Drone Upgrade Credit that the player applies to an owned Mk I or Mk II Support Drone. Other protected objectives can award different rewards without changing cocoon discovery, mining, or extraction mechanics.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Active-Actor Defense</w:t>
      </w:r>
    </w:p>
    <w:p>
      <w:pPr>
        <w:spacing w:before="0" w:after="120" w:line="264" w:lineRule="auto"/>
      </w:pPr>
      <w:r>
        <w:t>The Moon mining contract reserves 30 safely delivered lunar Common Ore until the player explicitly installs Prospector Mk I, permanently owns the first Mining Support Drone, opens Slot 1, and receives the Mars route key. Mars reserves 40 local Common Ore until the player explicitly fabricates empty Slot 2 and receives the Jupiter route key. Moon remains a simple excavation-and-return lesson; Mars turns the extended contract into repeated oxygen, heat, integrity, repair, cargo, and return cycles. Resource and Survey remain research unlocks; Hazard is commissioned by the Io scenario. A bay can equip multiple owned frames of the same role when the player has paid to build those copies; slots preserve individual frame identity and upgrade level. Hazard Drones cross terrain directly to avoid route traps, but they only target cells the player has revealed.</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Io Volcanic Descent scenario</w:t>
            </w:r>
          </w:p>
        </w:tc>
        <w:tc>
          <w:tcPr>
            <w:tcW w:type="dxa" w:w="5460"/>
            <w:tcMar>
              <w:top w:w="80" w:type="dxa"/>
              <w:start w:w="120" w:type="dxa"/>
              <w:bottom w:w="80" w:type="dxa"/>
              <w:end w:w="120" w:type="dxa"/>
            </w:tcMar>
            <w:vAlign w:val="center"/>
            <w:shd w:fill="FFFFFF"/>
          </w:tcPr>
          <w:p>
            <w:r>
              <w:t>Treats player-revealed Thermal, Cryo, toxic, and radiation hazards. It flies directly through terrain to prevent path traps; Mk tiers expand affinity coverage, batch size, and treatment speed.</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Active-actor-centered shots, target priority, critical-hit tuning,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t>Orbits and intercepts damage around the controlled actor, with shields, reactive armor, counter-hits, and hazard/enemy damage relief.</w:t>
            </w:r>
          </w:p>
        </w:tc>
      </w:tr>
    </w:tbl>
    <w:p/>
    <w:p>
      <w:pPr/>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pPr/>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pPr/>
      <w:r>
        <w:t>Task search, target scoring, field of view, shield arcs, scanner origins, collision clearance, and combat/support effects use the resolved active-actor frame. Attack drones choose threats near that anchor; Defense drones intercept damage there before routing any remainder to rig health or suit integrity. Mining, Resource, Survey, and Hazard roles make bounded sorties. A hauling drone detaches to unload only when the active actor is on the entry layer near the shuttle; otherwise it preserves its haul and follows.</w:t>
      </w:r>
    </w:p>
    <w:p>
      <w:pPr/>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Astronauts die or come home injured. Memorials persist. Rescue costs bite. Records, unlocks, blueprints, facilities, artifacts, drones, and saved onboarding state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989320" cy="1319076"/>
            <wp:docPr id="2" name="Picture 2"/>
            <wp:cNvGraphicFramePr>
              <a:graphicFrameLocks noChangeAspect="1"/>
            </wp:cNvGraphicFramePr>
            <a:graphic>
              <a:graphicData uri="http://schemas.openxmlformats.org/drawingml/2006/picture">
                <pic:pic>
                  <pic:nvPicPr>
                    <pic:cNvPr id="0" name="solar-frontier-ladder.png"/>
                    <pic:cNvPicPr/>
                  </pic:nvPicPr>
                  <pic:blipFill>
                    <a:blip r:embed="rId27"/>
                    <a:stretch>
                      <a:fillRect/>
                    </a:stretch>
                  </pic:blipFill>
                  <pic:spPr>
                    <a:xfrm>
                      <a:off x="0" y="0"/>
                      <a:ext cx="5989320" cy="1319076"/>
                    </a:xfrm>
                    <a:prstGeom prst="rect"/>
                  </pic:spPr>
                </pic:pic>
              </a:graphicData>
            </a:graphic>
          </wp:inline>
        </w:drawing>
      </w:r>
    </w:p>
    <w:p>
      <w:pPr>
        <w:jc w:val="center"/>
      </w:pPr>
      <w:r>
        <w:t>Solar frontier ladder: every planet is a distinct destination with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Jupiter-system arrival leads to the configured Io recovery scenario; a claimed Perfect slingshot opens Saturn.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pStyle w:val="Heading2"/>
      </w:pPr>
      <w:r>
        <w:t>Asset Inventory And Pipeline</w:t>
      </w:r>
    </w:p>
    <w:p>
      <w:pPr>
        <w:spacing w:before="0" w:after="120" w:line="264" w:lineRule="auto"/>
      </w:pPr>
      <w:r>
        <w:t>Art uses #ff00aa sources, tolerant cleanup, verified alpha, and deterministic packing. The manifest has 35 runtime textures, including the heroic portrait and static jetpack operator; missing JetpackCapybara art or registration fails without fallback. Vulkan and WebGL2 share the atlas/header.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w:t>
            </w:r>
          </w:p>
        </w:tc>
        <w:tc>
          <w:tcPr>
            <w:tcW w:type="dxa" w:w="3780"/>
            <w:tcMar>
              <w:top w:w="35" w:type="dxa"/>
              <w:start w:w="85" w:type="dxa"/>
              <w:bottom w:w="35" w:type="dxa"/>
              <w:end w:w="85" w:type="dxa"/>
            </w:tcMar>
            <w:vAlign w:val="center"/>
            <w:shd w:fill="FFFFFF"/>
          </w:tcPr>
          <w:p>
            <w:r>
              <w:t>Launch, return, bay state, thrust, and failure feedback.</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rPr>
          <w:cantSplit/>
        </w:trPr>
        <w:tc>
          <w:tcPr>
            <w:tcW w:type="dxa" w:w="1900"/>
          </w:tcPr>
          <w:p>
            <w:r>
              <w:t>Post-solar and character sources</w:t>
            </w:r>
          </w:p>
        </w:tc>
        <w:tc>
          <w:tcPr>
            <w:tcW w:type="dxa" w:w="3680"/>
          </w:tcPr>
          <w:p>
            <w:r>
              <w:t>outer-system art; Ark/rocket/bg/chroma sources; heroic-capybara.png; jetpack-capybara.png</w:t>
            </w:r>
          </w:p>
        </w:tc>
        <w:tc>
          <w:tcPr>
            <w:tcW w:type="dxa" w:w="3780"/>
          </w:tcPr>
          <w:p>
            <w:r>
              <w:t>Runtime/future post-solar art, source references, portrait, and static EVA operator; animation remains future work.</w:t>
            </w:r>
          </w:p>
        </w:tc>
      </w:tr>
    </w:tbl>
    <w:p/>
    <w:p>
      <w:pPr>
        <w:sectPr>
          <w:headerReference w:type="default" r:id="rId17"/>
          <w:footerReference w:type="default" r:id="rId18"/>
          <w:pgSz w:w="12240" w:h="15840"/>
          <w:pgMar w:top="1440" w:right="1440" w:bottom="1440" w:left="1440" w:header="708" w:footer="708" w:gutter="0"/>
          <w:cols w:space="720"/>
          <w:titlePg/>
          <w:docGrid w:linePitch="360"/>
        </w:sectPr>
      </w:pPr>
    </w:p>
    <w:p>
      <w:pPr>
        <w:pStyle w:val="Heading1"/>
        <w:pageBreakBefore w:val="0"/>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or goals: shared fuel, Ark fuel, oxygen, return risk, extraction pressure, Support Drone availability, carried/aboard/delivered contract ore, configured cocoon layers, protected-objective recovery, and the Perfect-required Saturn slingshot stay visible. The shared objective strip always identifies the authored scenario step, numeric or segmented progress, next action, and reward preview; text and icons communicate state in addition to color.</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r>
        <w:t>Mining presentation shows the parked rig, static operator, independently moving mini drones, reticle, tracer, tether, thrust, and anchor-centered shield/scanner effects. Shared HUD fields include controlled mode, gravity, suit integrity, drill heat, tether burden, loose-chunk count, drone parent status, and 'Suit carry: 0'. Native RmlUi and web prompts use the same vocabulary and action state.</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versioned content, authored/procedural scenarios, RNG, progression, saves, flight, research, mining, objective/reward routing, presentation helpers, and tuning. No platform APIs.</w:t>
            </w:r>
          </w:p>
        </w:tc>
      </w:tr>
      <w:t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c>
          <w:tcPr>
            <w:tcW w:type="dxa" w:w="1550"/>
          </w:tcPr>
          <w:p>
            <w:r>
              <w:t>src/platform/sdl</w:t>
            </w:r>
          </w:p>
        </w:tc>
        <w:tc>
          <w:tcPr>
            <w:tcW w:type="dxa" w:w="7810"/>
          </w:tcPr>
          <w:p>
            <w:r>
              <w:t>SDL 3 window and Vulkan surface, input/gamepads, haptics, native storage, PNG decode, fullscreen, high-DPI metrics, and shutdown.</w:t>
            </w:r>
          </w:p>
        </w:tc>
      </w:tr>
      <w:tr>
        <w:tc>
          <w:tcPr>
            <w:tcW w:type="dxa" w:w="1550"/>
          </w:tcPr>
          <w:p>
            <w:r>
              <w:t>web</w:t>
            </w:r>
          </w:p>
        </w:tc>
        <w:tc>
          <w:tcPr>
            <w:tcW w:type="dxa" w:w="7810"/>
          </w:tcPr>
          <w:p>
            <w:r>
              <w:t>Browser shell, CSS, accessibility mirror, exported web action routing, and the WebGL2 scene host.</w:t>
            </w:r>
          </w:p>
        </w:tc>
      </w:tr>
    </w:tbl>
    <w:p/>
    <w:p>
      <w:pPr/>
      <w:r>
        <w:t>Mining uses MiningOperatorMode with separate rig/operator state, MiningLooseChunk records, actor mobility profiles, and vector gravity. Each MiningMiniDroneAgent stores an additive anchor target, stable formation slot, and orbit phase. A centralized resolver produces a transient MiniDroneAnchorFrame containing actor identity, position, velocity, facing, collider, depth, and validity. Coordinators and SceneComposer receive that frame instead of reading rig coordinates. Scenario instances select a generic mining-site definition and protected-objective adapter; the mining engine receives resolved site data rather than a campaign or destination name.</w:t>
      </w:r>
    </w:p>
    <w:p>
      <w:pPr>
        <w:pStyle w:val="Heading2"/>
      </w:pPr>
      <w:r>
        <w:t>Scenario Authoring Framework</w:t>
      </w:r>
    </w:p>
    <w:p>
      <w:pPr/>
      <w:r>
        <w:t>ScenarioDefinition is a versioned content record with eligibility, presentation, ordered or dependency-linked steps, activity configuration, completion rules, claim policy, and rewards. ScenarioInstance persists its authored or procedural source, definition ID/version, deterministic seed, resolved parameters, acknowledgements, progress, claims, and awarded reward IDs. ScenarioEvent records authoritative delivery, activity completion, protected-payload extraction, Flyby grade, equipment assignment, and abort results. ScenarioReward grants Support Drone frames, bay slots, upgrade credits, inventory resources, unlock keys, or route access. Both native RmlUi and WebAssembly consume the same scenario presentation/actions. Future content selects an existing activity and objective adapter; it must not add code branches that compare story copy, scenario IDs, or destination IDs inside reusable mining, Flyby, reward, or route mechanics.</w:t>
      </w:r>
    </w:p>
    <w:p>
      <w:pPr>
        <w:pStyle w:val="Heading2"/>
        <w:pageBreakBefore/>
      </w:pPr>
      <w:r>
        <w:t>Save And Migration Rules</w:t>
      </w:r>
    </w:p>
    <w:p>
      <w:pPr>
        <w:spacing w:before="0" w:after="120" w:line="264" w:lineRule="auto"/>
      </w:pPr>
      <w:r>
        <w:t>The current save format is version 9, line-based, and dependency-free. Version 9 persists scenario instances, definition versions, deterministic procedural seeds and resolved parameters, step counters, acknowledgements, claim/completion state, awarded reward IDs, generic mining-site progress, cocoon layer indices, protected-objective state, and generic Flyby challenge state. Migration maps legacy Moon/Mars/Io/Saturn fields into the corresponding scenario steps, preserves partial delivery/treatment/extraction progress, awards no duplicate reward, keeps completed routes open, and never rolls later campaigns backward. Content definitions are immutable per version; behavior changes require a versioned migration rather than silently redefining a saved scenario.</w:t>
      </w:r>
    </w:p>
    <w:p>
      <w:pPr>
        <w:pStyle w:val="Heading2"/>
      </w:pPr>
      <w:r>
        <w:t>Testing Standards</w:t>
      </w:r>
    </w:p>
    <w:p>
      <w:pPr>
        <w:spacing w:before="0" w:after="120" w:line="264" w:lineRule="auto"/>
      </w:pPr>
      <w:r>
        <w:t>Core tests are design contracts for launch outcomes, generic scenario events/actions/rewards, route-key evaluation, dependency-linked steps, deterministic procedural instances, reusable multi-layer cocoons, protected-objective adapters, progression, research, Surface Ops, deterministic mining, Rig/EVA physics, destination gravity, loose chunks, tether burden, suit passages, emergency recovery, and v9 save migration. Swarm tests cover mixed six-role formations, smooth actor transfers, cancellation with haul preservation, active-actor targeting and shield interception, catch-up, compressed formations, collision separation, shuttle restrictions, cross-depth preservation, wreck avoidance, tether independence, failure freeze, collisionless Hazard traversal, revealed-only targeting, shared treatment assistance, and active-actor render effects. Release validation includes atlas checks, core/native tests, web tests/build, sanity checks, native Release, 1280x800 visual review, and a physical Steam Deck control/readability pass.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Mining requires prepared Surface Ops and shared fuel; tests cover oxygen/heat, rig and suit mobility, vector gravity, twin-stick aim, sidearm/drill/scanner/tether behavior, loose chunks, suit-only passages, depth transitions, recovery, extraction, resolved authored/procedural mining sites, layered cocoon reveal/excavation, and protected-objective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progression, persistent loadouts, paid duplicate frames, unique orbit slots, smooth Rig-Operator-Rig transfer, task cancellation, haul/shield/cooldown preservation, active-actor Attack/Defense behavior, catch-up/leashes, collision separation, collisionless Hazard travel with revealed-only targeting, shuttle delivery, cross-depth transfer, and ejection from a wreck.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scenario presentation behavior covers native RmlUi and web UI parity, mandatory modals, stable scenario/action/focus IDs, one mining viewport transform, active-actor HUD/effects, controller hold/tap semantics, and top-level metrics.</w:t>
            </w:r>
          </w:p>
        </w:tc>
      </w:tr>
      <w:tr>
        <w:trPr>
          <w:cantSplit/>
        </w:trP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rPr>
          <w:cantSplit/>
        </w:trP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active-actor-centered swarm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cantSplit/>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Drone roles, slot/tuning progression, synergies, transferable active-actor anchoring, formations, bounded sorties, combat/support behavior, and HUD expectations.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docs/AGENT_DESIGN_CONTEXT.md + Solar Jetman manuals</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Design priorities, art/crew/Ark direction, and the internal gravity, inertia, towing, vehicle/pilot, recovery, and physical-delivery touchstone.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Implemented versioned content, scenario framework, route-key evaluation, Rig/EVA mining, reusable cocoon/protected-objective adapters, transferable mini-drone anchors, save v9 migration, presentation helpers, and regression coverage.</w:t>
            </w:r>
          </w:p>
        </w:tc>
      </w:tr>
      <w:tr>
        <w:trPr>
          <w:cantSplit/>
        </w:trP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Art pipeline, Ark/planet/rocket/mining sprites, jetpack Capybara operator art, runtime manifest, atlas generation, and #ff00aa source cleanup convention.</w:t>
            </w:r>
          </w:p>
        </w:tc>
      </w:tr>
      <w:tr>
        <w:trPr>
          <w:cantSplit/>
        </w:trP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rPr>
          <w:cantSplit/>
        </w:trPr>
        <w:tc>
          <w:tcPr>
            <w:tcW w:type="dxa" w:w="3330"/>
          </w:tcPr>
          <w:p>
            <w:r>
              <w:t>Build, Vulkan, and Steam release sources</w:t>
            </w:r>
          </w:p>
        </w:tc>
        <w:tc>
          <w:tcPr>
            <w:tcW w:type="dxa" w:w="6030"/>
          </w:tcPr>
          <w:p>
            <w:r>
              <w:t>Reproducible native/web builds, Vulkan acceptance, package/dependency checks, Steam/Deck gates, release positioning, and creative ownership.</w:t>
            </w:r>
          </w:p>
        </w:tc>
      </w:tr>
    </w:tbl>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Updated from current repository sources on July 21, 2026.</dc:description>
  <cp:lastModifiedBy/>
  <cp:revision>1</cp:revision>
  <dcterms:created xsi:type="dcterms:W3CDTF">2013-12-23T23:15:00Z</dcterms:created>
  <dcterms:modified xsi:type="dcterms:W3CDTF">2013-12-23T23:15:00Z</dcterms:modified>
  <cp:category/>
</cp:coreProperties>
</file>