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2FE81" w14:textId="77777777" w:rsidR="00C232D7" w:rsidRDefault="00DC6A9F">
      <w:pPr>
        <w:pStyle w:val="Title"/>
      </w:pPr>
      <w:r>
        <w:t>PHI 201 2018 Spring Syllabus</w:t>
      </w:r>
    </w:p>
    <w:p w14:paraId="7D1A81E3" w14:textId="77777777" w:rsidR="00C232D7" w:rsidRDefault="00DC6A9F">
      <w:pPr>
        <w:pStyle w:val="Heading2"/>
      </w:pPr>
      <w:bookmarkStart w:id="0" w:name="phi-201-syllabus---history-of-philosophy"/>
      <w:bookmarkEnd w:id="0"/>
      <w:r>
        <w:t>PHI 201 Syllabus - History of Philosophy I</w:t>
      </w:r>
    </w:p>
    <w:tbl>
      <w:tblPr>
        <w:tblW w:w="0" w:type="pct"/>
        <w:tblLook w:val="04A0" w:firstRow="1" w:lastRow="0" w:firstColumn="1" w:lastColumn="0" w:noHBand="0" w:noVBand="1"/>
      </w:tblPr>
      <w:tblGrid>
        <w:gridCol w:w="1634"/>
        <w:gridCol w:w="6752"/>
      </w:tblGrid>
      <w:tr w:rsidR="00C232D7" w14:paraId="57B7069E" w14:textId="77777777">
        <w:tc>
          <w:tcPr>
            <w:tcW w:w="0" w:type="auto"/>
          </w:tcPr>
          <w:p w14:paraId="7CF5D84C" w14:textId="77777777" w:rsidR="00C232D7" w:rsidRDefault="00DC6A9F">
            <w:pPr>
              <w:pStyle w:val="Compact"/>
            </w:pPr>
            <w:r>
              <w:t>Location</w:t>
            </w:r>
          </w:p>
        </w:tc>
        <w:tc>
          <w:tcPr>
            <w:tcW w:w="0" w:type="auto"/>
          </w:tcPr>
          <w:p w14:paraId="7E77DF1B" w14:textId="77777777" w:rsidR="00C232D7" w:rsidRDefault="00DC6A9F">
            <w:pPr>
              <w:pStyle w:val="Compact"/>
            </w:pPr>
            <w:r>
              <w:t>Chapel, 006</w:t>
            </w:r>
          </w:p>
        </w:tc>
      </w:tr>
      <w:tr w:rsidR="00C232D7" w14:paraId="10D731D8" w14:textId="77777777">
        <w:tc>
          <w:tcPr>
            <w:tcW w:w="0" w:type="auto"/>
          </w:tcPr>
          <w:p w14:paraId="2385C653" w14:textId="77777777" w:rsidR="00C232D7" w:rsidRDefault="00DC6A9F">
            <w:pPr>
              <w:pStyle w:val="Compact"/>
            </w:pPr>
            <w:r>
              <w:t>Instructor</w:t>
            </w:r>
          </w:p>
        </w:tc>
        <w:tc>
          <w:tcPr>
            <w:tcW w:w="0" w:type="auto"/>
          </w:tcPr>
          <w:p w14:paraId="5E161958" w14:textId="77777777" w:rsidR="00C232D7" w:rsidRDefault="00DC6A9F">
            <w:pPr>
              <w:pStyle w:val="Compact"/>
            </w:pPr>
            <w:r>
              <w:t>Dan Sheffler</w:t>
            </w:r>
          </w:p>
        </w:tc>
      </w:tr>
      <w:tr w:rsidR="00C232D7" w14:paraId="18C72126" w14:textId="77777777">
        <w:tc>
          <w:tcPr>
            <w:tcW w:w="0" w:type="auto"/>
          </w:tcPr>
          <w:p w14:paraId="2A9FDC06" w14:textId="77777777" w:rsidR="00C232D7" w:rsidRDefault="00DC6A9F">
            <w:pPr>
              <w:pStyle w:val="Compact"/>
            </w:pPr>
            <w:r>
              <w:t>Email</w:t>
            </w:r>
          </w:p>
        </w:tc>
        <w:tc>
          <w:tcPr>
            <w:tcW w:w="0" w:type="auto"/>
          </w:tcPr>
          <w:p w14:paraId="51C8A0A1" w14:textId="77777777" w:rsidR="00C232D7" w:rsidRDefault="00DC6A9F">
            <w:pPr>
              <w:pStyle w:val="Compact"/>
            </w:pPr>
            <w:r>
              <w:t>daniel_sheffler@georgetowncollege.edu</w:t>
            </w:r>
          </w:p>
        </w:tc>
      </w:tr>
      <w:tr w:rsidR="00C232D7" w14:paraId="2DFEE1B2" w14:textId="77777777">
        <w:tc>
          <w:tcPr>
            <w:tcW w:w="0" w:type="auto"/>
          </w:tcPr>
          <w:p w14:paraId="2A4F6E6C" w14:textId="77777777" w:rsidR="00C232D7" w:rsidRDefault="00DC6A9F">
            <w:pPr>
              <w:pStyle w:val="Compact"/>
            </w:pPr>
            <w:r>
              <w:t>Web</w:t>
            </w:r>
          </w:p>
        </w:tc>
        <w:tc>
          <w:tcPr>
            <w:tcW w:w="0" w:type="auto"/>
          </w:tcPr>
          <w:p w14:paraId="444BE0E1" w14:textId="77777777" w:rsidR="00C232D7" w:rsidRDefault="00DC6A9F">
            <w:pPr>
              <w:pStyle w:val="Compact"/>
            </w:pPr>
            <w:hyperlink r:id="rId6">
              <w:r>
                <w:rPr>
                  <w:rStyle w:val="Link"/>
                </w:rPr>
                <w:t>https://sage.georgetowncollege.edu/course/view.php?id=3720</w:t>
              </w:r>
            </w:hyperlink>
          </w:p>
        </w:tc>
      </w:tr>
      <w:tr w:rsidR="00C232D7" w14:paraId="3AAD2881" w14:textId="77777777">
        <w:tc>
          <w:tcPr>
            <w:tcW w:w="0" w:type="auto"/>
          </w:tcPr>
          <w:p w14:paraId="262527DB" w14:textId="77777777" w:rsidR="00C232D7" w:rsidRDefault="00DC6A9F">
            <w:pPr>
              <w:pStyle w:val="Compact"/>
            </w:pPr>
            <w:r>
              <w:t>Schedule</w:t>
            </w:r>
          </w:p>
        </w:tc>
        <w:tc>
          <w:tcPr>
            <w:tcW w:w="0" w:type="auto"/>
          </w:tcPr>
          <w:p w14:paraId="7A76CD41" w14:textId="77777777" w:rsidR="00C232D7" w:rsidRDefault="00DC6A9F">
            <w:pPr>
              <w:pStyle w:val="Compact"/>
            </w:pPr>
            <w:hyperlink r:id="rId7">
              <w:r>
                <w:rPr>
                  <w:rStyle w:val="Link"/>
                </w:rPr>
                <w:t>http://dansheffler.com/phi201schedule/</w:t>
              </w:r>
            </w:hyperlink>
          </w:p>
        </w:tc>
      </w:tr>
      <w:tr w:rsidR="00C232D7" w14:paraId="52B5BEF4" w14:textId="77777777">
        <w:tc>
          <w:tcPr>
            <w:tcW w:w="0" w:type="auto"/>
          </w:tcPr>
          <w:p w14:paraId="1FF7BA4D" w14:textId="77777777" w:rsidR="00C232D7" w:rsidRDefault="00DC6A9F">
            <w:pPr>
              <w:pStyle w:val="Compact"/>
            </w:pPr>
            <w:r>
              <w:t>Presentations</w:t>
            </w:r>
          </w:p>
        </w:tc>
        <w:tc>
          <w:tcPr>
            <w:tcW w:w="0" w:type="auto"/>
          </w:tcPr>
          <w:p w14:paraId="7DB2E2DA" w14:textId="77777777" w:rsidR="00C232D7" w:rsidRDefault="00DC6A9F">
            <w:pPr>
              <w:pStyle w:val="Compact"/>
            </w:pPr>
            <w:hyperlink r:id="rId8">
              <w:r>
                <w:rPr>
                  <w:rStyle w:val="Link"/>
                </w:rPr>
                <w:t>http://dansh</w:t>
              </w:r>
              <w:r>
                <w:rPr>
                  <w:rStyle w:val="Link"/>
                </w:rPr>
                <w:t>effler.com/phi201presentations/</w:t>
              </w:r>
            </w:hyperlink>
          </w:p>
        </w:tc>
      </w:tr>
      <w:tr w:rsidR="00C232D7" w14:paraId="43A73F0C" w14:textId="77777777">
        <w:tc>
          <w:tcPr>
            <w:tcW w:w="0" w:type="auto"/>
          </w:tcPr>
          <w:p w14:paraId="216B76ED" w14:textId="77777777" w:rsidR="00C232D7" w:rsidRDefault="00DC6A9F">
            <w:pPr>
              <w:pStyle w:val="Compact"/>
            </w:pPr>
            <w:r>
              <w:t>Semester</w:t>
            </w:r>
          </w:p>
        </w:tc>
        <w:tc>
          <w:tcPr>
            <w:tcW w:w="0" w:type="auto"/>
          </w:tcPr>
          <w:p w14:paraId="32BE253C" w14:textId="77777777" w:rsidR="00C232D7" w:rsidRDefault="00DC6A9F">
            <w:pPr>
              <w:pStyle w:val="Compact"/>
            </w:pPr>
            <w:r>
              <w:t>Spring 2018</w:t>
            </w:r>
          </w:p>
        </w:tc>
      </w:tr>
      <w:tr w:rsidR="00C232D7" w14:paraId="3561E4D5" w14:textId="77777777">
        <w:tc>
          <w:tcPr>
            <w:tcW w:w="0" w:type="auto"/>
          </w:tcPr>
          <w:p w14:paraId="022A7772" w14:textId="77777777" w:rsidR="00C232D7" w:rsidRDefault="00DC6A9F">
            <w:pPr>
              <w:pStyle w:val="Compact"/>
            </w:pPr>
            <w:r>
              <w:t>Credit Hours</w:t>
            </w:r>
          </w:p>
        </w:tc>
        <w:tc>
          <w:tcPr>
            <w:tcW w:w="0" w:type="auto"/>
          </w:tcPr>
          <w:p w14:paraId="3234F9DA" w14:textId="77777777" w:rsidR="00C232D7" w:rsidRDefault="00DC6A9F">
            <w:pPr>
              <w:pStyle w:val="Compact"/>
            </w:pPr>
            <w:r>
              <w:t>3</w:t>
            </w:r>
          </w:p>
        </w:tc>
      </w:tr>
    </w:tbl>
    <w:p w14:paraId="0794988C" w14:textId="77777777" w:rsidR="00C232D7" w:rsidRDefault="00DC6A9F">
      <w:pPr>
        <w:pStyle w:val="Heading2"/>
      </w:pPr>
      <w:bookmarkStart w:id="1" w:name="required-texts"/>
      <w:bookmarkEnd w:id="1"/>
      <w:r>
        <w:t>Required Texts</w:t>
      </w:r>
    </w:p>
    <w:p w14:paraId="6AACEC2D" w14:textId="77777777" w:rsidR="00C232D7" w:rsidRDefault="00DC6A9F">
      <w:pPr>
        <w:pStyle w:val="Compact"/>
        <w:numPr>
          <w:ilvl w:val="0"/>
          <w:numId w:val="3"/>
        </w:numPr>
      </w:pPr>
      <w:r>
        <w:rPr>
          <w:i/>
        </w:rPr>
        <w:t>Readings in Ancient Greek Philosophy</w:t>
      </w:r>
      <w:r>
        <w:t>, ed. S. Marc Cohen, Patricia Curd, and C.D.C. Reeve, (Hackett, 2005), ISBN: 0872207692.</w:t>
      </w:r>
    </w:p>
    <w:p w14:paraId="06ED78D5" w14:textId="77777777" w:rsidR="00C232D7" w:rsidRDefault="00DC6A9F">
      <w:pPr>
        <w:pStyle w:val="Compact"/>
        <w:numPr>
          <w:ilvl w:val="0"/>
          <w:numId w:val="3"/>
        </w:numPr>
      </w:pPr>
      <w:r>
        <w:t xml:space="preserve">Augustine, </w:t>
      </w:r>
      <w:r>
        <w:rPr>
          <w:i/>
        </w:rPr>
        <w:t>Confessions</w:t>
      </w:r>
      <w:r>
        <w:t>, trans. Henry Chadwick, (Oxford, 1991) ISBN: 9780199537822.</w:t>
      </w:r>
    </w:p>
    <w:p w14:paraId="5F4127DE" w14:textId="77777777" w:rsidR="00C232D7" w:rsidRDefault="00DC6A9F">
      <w:pPr>
        <w:pStyle w:val="Compact"/>
        <w:numPr>
          <w:ilvl w:val="0"/>
          <w:numId w:val="3"/>
        </w:numPr>
      </w:pPr>
      <w:r>
        <w:t xml:space="preserve">Boethius, </w:t>
      </w:r>
      <w:r>
        <w:rPr>
          <w:i/>
        </w:rPr>
        <w:t>The Consolation of Philosophy</w:t>
      </w:r>
      <w:r>
        <w:t>, trans. Victor Watts, (Penguin, 1999).</w:t>
      </w:r>
    </w:p>
    <w:p w14:paraId="61A35B18" w14:textId="77777777" w:rsidR="00C232D7" w:rsidRDefault="00DC6A9F">
      <w:pPr>
        <w:pStyle w:val="Compact"/>
        <w:numPr>
          <w:ilvl w:val="0"/>
          <w:numId w:val="3"/>
        </w:numPr>
      </w:pPr>
      <w:r>
        <w:t xml:space="preserve">Anselm, </w:t>
      </w:r>
      <w:r>
        <w:rPr>
          <w:i/>
        </w:rPr>
        <w:t>The Major Works</w:t>
      </w:r>
      <w:r>
        <w:t>, ed. Brian Davies and G.R. Evans, (Oxford, 1998), ISBN: 0192825259.</w:t>
      </w:r>
    </w:p>
    <w:p w14:paraId="52EA93B1" w14:textId="77777777" w:rsidR="00C232D7" w:rsidRDefault="00DC6A9F">
      <w:pPr>
        <w:pStyle w:val="Heading2"/>
      </w:pPr>
      <w:bookmarkStart w:id="2" w:name="course-description-and-learning-outcomes"/>
      <w:bookmarkEnd w:id="2"/>
      <w:r>
        <w:t>Course Description and L</w:t>
      </w:r>
      <w:r>
        <w:t>earning Outcomes</w:t>
      </w:r>
    </w:p>
    <w:p w14:paraId="0C30BD54" w14:textId="77777777" w:rsidR="00C232D7" w:rsidRDefault="00DC6A9F">
      <w:r>
        <w:rPr>
          <w:i/>
        </w:rPr>
        <w:t>From the Catalog</w:t>
      </w:r>
      <w:r>
        <w:t xml:space="preserve">: Survey of the development of Western philosophical thought within its cultural contexts from ancient Greece through the Middle Ages. Exploration of foundational approaches to questions of reality, virtue, knowledge, God, </w:t>
      </w:r>
      <w:r>
        <w:t>faith, and reason.</w:t>
      </w:r>
    </w:p>
    <w:p w14:paraId="44DBF2B1" w14:textId="77777777" w:rsidR="00C232D7" w:rsidRDefault="00DC6A9F">
      <w:r>
        <w:rPr>
          <w:i/>
        </w:rPr>
        <w:t>From Me</w:t>
      </w:r>
      <w:r>
        <w:t>: In this course we will read major philosophers from the ancient and medieval periods including Plato, Aristotle, Augustine, Boethius, Anselm, and Aquinas. For each author, we will try to come to grips with his worldview, that is</w:t>
      </w:r>
      <w:r>
        <w:t>, how he conceives the structure of reality as a whole. Where does this author think that the universe comes from? What does he think is most real? Does he believe in God? How does he conceive of God? What does he think it means to be human? I hope that as</w:t>
      </w:r>
      <w:r>
        <w:t xml:space="preserve">king these questions will open our eyes to the high degree of agreement amongst ancient and medieval thinkers and the high degree of difference between them and modern thinkers. I also hope that as you explore how great men of the past have answered these </w:t>
      </w:r>
      <w:r>
        <w:t>questions, you will begin to develop answers of your own.</w:t>
      </w:r>
    </w:p>
    <w:p w14:paraId="44FA4C76" w14:textId="77777777" w:rsidR="00DC6A9F" w:rsidRDefault="00DC6A9F">
      <w:pPr>
        <w:spacing w:before="0" w:after="200"/>
        <w:rPr>
          <w:rFonts w:asciiTheme="majorHAnsi" w:eastAsiaTheme="majorEastAsia" w:hAnsiTheme="majorHAnsi" w:cstheme="majorBidi"/>
          <w:b/>
          <w:bCs/>
          <w:color w:val="4F81BD" w:themeColor="accent1"/>
          <w:sz w:val="32"/>
          <w:szCs w:val="32"/>
        </w:rPr>
      </w:pPr>
      <w:bookmarkStart w:id="3" w:name="learning-outcomes"/>
      <w:bookmarkEnd w:id="3"/>
      <w:r>
        <w:br w:type="page"/>
      </w:r>
    </w:p>
    <w:p w14:paraId="515434BD" w14:textId="77777777" w:rsidR="00C232D7" w:rsidRDefault="00DC6A9F">
      <w:pPr>
        <w:pStyle w:val="Heading2"/>
      </w:pPr>
      <w:bookmarkStart w:id="4" w:name="_GoBack"/>
      <w:bookmarkEnd w:id="4"/>
      <w:r>
        <w:lastRenderedPageBreak/>
        <w:t>Learning Outcomes</w:t>
      </w:r>
    </w:p>
    <w:tbl>
      <w:tblPr>
        <w:tblW w:w="4930" w:type="pct"/>
        <w:tblLook w:val="04A0" w:firstRow="1" w:lastRow="0" w:firstColumn="1" w:lastColumn="0" w:noHBand="0" w:noVBand="1"/>
      </w:tblPr>
      <w:tblGrid>
        <w:gridCol w:w="6607"/>
        <w:gridCol w:w="2125"/>
      </w:tblGrid>
      <w:tr w:rsidR="00C232D7" w14:paraId="28796687" w14:textId="77777777">
        <w:tc>
          <w:tcPr>
            <w:tcW w:w="0" w:type="auto"/>
            <w:tcBorders>
              <w:bottom w:val="single" w:sz="0" w:space="0" w:color="auto"/>
            </w:tcBorders>
            <w:vAlign w:val="bottom"/>
          </w:tcPr>
          <w:p w14:paraId="267829C0" w14:textId="77777777" w:rsidR="00C232D7" w:rsidRDefault="00DC6A9F">
            <w:pPr>
              <w:pStyle w:val="Compact"/>
            </w:pPr>
            <w:r>
              <w:t>Learning Outcome</w:t>
            </w:r>
          </w:p>
        </w:tc>
        <w:tc>
          <w:tcPr>
            <w:tcW w:w="0" w:type="auto"/>
            <w:tcBorders>
              <w:bottom w:val="single" w:sz="0" w:space="0" w:color="auto"/>
            </w:tcBorders>
            <w:vAlign w:val="bottom"/>
          </w:tcPr>
          <w:p w14:paraId="6AE68496" w14:textId="77777777" w:rsidR="00C232D7" w:rsidRDefault="00DC6A9F">
            <w:pPr>
              <w:pStyle w:val="Compact"/>
            </w:pPr>
            <w:r>
              <w:t>Assessment</w:t>
            </w:r>
          </w:p>
        </w:tc>
      </w:tr>
      <w:tr w:rsidR="00C232D7" w14:paraId="08CC22C3" w14:textId="77777777">
        <w:tc>
          <w:tcPr>
            <w:tcW w:w="0" w:type="auto"/>
          </w:tcPr>
          <w:p w14:paraId="545F2295" w14:textId="77777777" w:rsidR="00C232D7" w:rsidRDefault="00DC6A9F">
            <w:pPr>
              <w:pStyle w:val="Compact"/>
            </w:pPr>
            <w:r>
              <w:t>To gain an understanding of the primary questions, terminology, and theories in ancient and medieval philosophy</w:t>
            </w:r>
          </w:p>
        </w:tc>
        <w:tc>
          <w:tcPr>
            <w:tcW w:w="0" w:type="auto"/>
          </w:tcPr>
          <w:p w14:paraId="60BE8A4A" w14:textId="77777777" w:rsidR="00C232D7" w:rsidRDefault="00DC6A9F">
            <w:pPr>
              <w:pStyle w:val="Compact"/>
            </w:pPr>
            <w:r>
              <w:t>Reading Quizzes</w:t>
            </w:r>
          </w:p>
        </w:tc>
      </w:tr>
      <w:tr w:rsidR="00C232D7" w14:paraId="4D102C9B" w14:textId="77777777">
        <w:tc>
          <w:tcPr>
            <w:tcW w:w="0" w:type="auto"/>
          </w:tcPr>
          <w:p w14:paraId="1A5E3935" w14:textId="77777777" w:rsidR="00C232D7" w:rsidRDefault="00DC6A9F">
            <w:pPr>
              <w:pStyle w:val="Compact"/>
            </w:pPr>
            <w:r>
              <w:t>To learn to carefully read philosophical texts</w:t>
            </w:r>
          </w:p>
        </w:tc>
        <w:tc>
          <w:tcPr>
            <w:tcW w:w="0" w:type="auto"/>
          </w:tcPr>
          <w:p w14:paraId="2BC559BB" w14:textId="77777777" w:rsidR="00C232D7" w:rsidRDefault="00DC6A9F">
            <w:pPr>
              <w:pStyle w:val="Compact"/>
            </w:pPr>
            <w:r>
              <w:t>Reading Quizzes</w:t>
            </w:r>
          </w:p>
        </w:tc>
      </w:tr>
      <w:tr w:rsidR="00C232D7" w14:paraId="606CCD5E" w14:textId="77777777">
        <w:tc>
          <w:tcPr>
            <w:tcW w:w="0" w:type="auto"/>
          </w:tcPr>
          <w:p w14:paraId="008C0FB4" w14:textId="77777777" w:rsidR="00C232D7" w:rsidRDefault="00DC6A9F">
            <w:pPr>
              <w:pStyle w:val="Compact"/>
            </w:pPr>
            <w:r>
              <w:t>To gain the capacity to communicate difficult philosophical thinking in clear, concise prose.</w:t>
            </w:r>
          </w:p>
        </w:tc>
        <w:tc>
          <w:tcPr>
            <w:tcW w:w="0" w:type="auto"/>
          </w:tcPr>
          <w:p w14:paraId="18431441" w14:textId="77777777" w:rsidR="00C232D7" w:rsidRDefault="00DC6A9F">
            <w:pPr>
              <w:pStyle w:val="Compact"/>
            </w:pPr>
            <w:r>
              <w:t>Midterm and Final Papers</w:t>
            </w:r>
          </w:p>
        </w:tc>
      </w:tr>
    </w:tbl>
    <w:p w14:paraId="490F66A1" w14:textId="77777777" w:rsidR="00C232D7" w:rsidRDefault="00DC6A9F">
      <w:pPr>
        <w:pStyle w:val="Heading2"/>
      </w:pPr>
      <w:bookmarkStart w:id="5" w:name="grading"/>
      <w:bookmarkEnd w:id="5"/>
      <w:r>
        <w:t>Grading</w:t>
      </w:r>
    </w:p>
    <w:tbl>
      <w:tblPr>
        <w:tblW w:w="0" w:type="pct"/>
        <w:tblLook w:val="04A0" w:firstRow="1" w:lastRow="0" w:firstColumn="1" w:lastColumn="0" w:noHBand="0" w:noVBand="1"/>
      </w:tblPr>
      <w:tblGrid>
        <w:gridCol w:w="1899"/>
        <w:gridCol w:w="696"/>
      </w:tblGrid>
      <w:tr w:rsidR="00C232D7" w14:paraId="52FFDD48" w14:textId="77777777">
        <w:tc>
          <w:tcPr>
            <w:tcW w:w="0" w:type="auto"/>
          </w:tcPr>
          <w:p w14:paraId="6EE0F79E" w14:textId="77777777" w:rsidR="00C232D7" w:rsidRDefault="00DC6A9F">
            <w:pPr>
              <w:pStyle w:val="Compact"/>
            </w:pPr>
            <w:r>
              <w:t>Reading Quizzes</w:t>
            </w:r>
          </w:p>
        </w:tc>
        <w:tc>
          <w:tcPr>
            <w:tcW w:w="0" w:type="auto"/>
          </w:tcPr>
          <w:p w14:paraId="47884D07" w14:textId="77777777" w:rsidR="00C232D7" w:rsidRDefault="00DC6A9F">
            <w:pPr>
              <w:pStyle w:val="Compact"/>
            </w:pPr>
            <w:r>
              <w:t>40%</w:t>
            </w:r>
          </w:p>
        </w:tc>
      </w:tr>
      <w:tr w:rsidR="00C232D7" w14:paraId="351E62D6" w14:textId="77777777">
        <w:tc>
          <w:tcPr>
            <w:tcW w:w="0" w:type="auto"/>
          </w:tcPr>
          <w:p w14:paraId="3CD907E5" w14:textId="77777777" w:rsidR="00C232D7" w:rsidRDefault="00DC6A9F">
            <w:pPr>
              <w:pStyle w:val="Compact"/>
            </w:pPr>
            <w:r>
              <w:t>Midterm Paper</w:t>
            </w:r>
          </w:p>
        </w:tc>
        <w:tc>
          <w:tcPr>
            <w:tcW w:w="0" w:type="auto"/>
          </w:tcPr>
          <w:p w14:paraId="6D10B5E1" w14:textId="77777777" w:rsidR="00C232D7" w:rsidRDefault="00DC6A9F">
            <w:pPr>
              <w:pStyle w:val="Compact"/>
            </w:pPr>
            <w:r>
              <w:t>30%</w:t>
            </w:r>
          </w:p>
        </w:tc>
      </w:tr>
      <w:tr w:rsidR="00C232D7" w14:paraId="5BF4747D" w14:textId="77777777">
        <w:tc>
          <w:tcPr>
            <w:tcW w:w="0" w:type="auto"/>
          </w:tcPr>
          <w:p w14:paraId="69C28D5F" w14:textId="77777777" w:rsidR="00C232D7" w:rsidRDefault="00DC6A9F">
            <w:pPr>
              <w:pStyle w:val="Compact"/>
            </w:pPr>
            <w:r>
              <w:t>Final Paper</w:t>
            </w:r>
          </w:p>
        </w:tc>
        <w:tc>
          <w:tcPr>
            <w:tcW w:w="0" w:type="auto"/>
          </w:tcPr>
          <w:p w14:paraId="67B66959" w14:textId="77777777" w:rsidR="00C232D7" w:rsidRDefault="00DC6A9F">
            <w:pPr>
              <w:pStyle w:val="Compact"/>
            </w:pPr>
            <w:r>
              <w:t>30%</w:t>
            </w:r>
          </w:p>
        </w:tc>
      </w:tr>
    </w:tbl>
    <w:p w14:paraId="4C25D499" w14:textId="77777777" w:rsidR="00C232D7" w:rsidRDefault="00DC6A9F">
      <w:r>
        <w:t>The first portion of your grade will come from regular (short) reading quizzes. These will be completed on Moodle and will typically consist of five multiple-choice questions on the reading for the day. These quizzes are due before class on the day when th</w:t>
      </w:r>
      <w:r>
        <w:t xml:space="preserve">e corresponding reading assignment is due. There is a time limit on these quizzes and they can only be taken once, so it is advisable that you complete them just as soon as you complete your reading. You will not have enough time to search the reading for </w:t>
      </w:r>
      <w:r>
        <w:t>the answers if you have not read it, but you may keep the reading assignment open to aid in the completion of the quiz. You will quickly find that you really must do the reading and do it quite carefully to do well on these quizzes.</w:t>
      </w:r>
    </w:p>
    <w:p w14:paraId="6259CEB7" w14:textId="77777777" w:rsidR="00C232D7" w:rsidRDefault="00DC6A9F">
      <w:r>
        <w:t>At the middle and end o</w:t>
      </w:r>
      <w:r>
        <w:t>f the semester, you will submit a short (1000–1500 words) paper on Moodle analyzing and reflecting upon one of the authors we have discussed in class. This paper will consist of one section (at least 500 words) that analyzes an argument from the author and</w:t>
      </w:r>
      <w:r>
        <w:t xml:space="preserve"> one section (at least 500 words) that presents your own argument on the same topic. I will not accept papers that fail to meet these length requirements. Instead, your paper will simply rack up deductions for lateness until you turn in a paper of sufficie</w:t>
      </w:r>
      <w:r>
        <w:t xml:space="preserve">nt length. See </w:t>
      </w:r>
      <w:hyperlink r:id="rId9">
        <w:r>
          <w:rPr>
            <w:rStyle w:val="Link"/>
          </w:rPr>
          <w:t>these instructions</w:t>
        </w:r>
      </w:hyperlink>
      <w:r>
        <w:t xml:space="preserve"> for specific steps to getting an A and the specific rubric I use while grading.</w:t>
      </w:r>
    </w:p>
    <w:p w14:paraId="2A5C3A38" w14:textId="77777777" w:rsidR="00C232D7" w:rsidRDefault="00DC6A9F">
      <w:r>
        <w:rPr>
          <w:b/>
        </w:rPr>
        <w:t>Grading Scale:</w:t>
      </w:r>
    </w:p>
    <w:p w14:paraId="2F3233DC" w14:textId="77777777" w:rsidR="00C232D7" w:rsidRDefault="00DC6A9F">
      <w:r>
        <w:t>(I round all values to the nearest whole percent.)</w:t>
      </w:r>
    </w:p>
    <w:tbl>
      <w:tblPr>
        <w:tblW w:w="0" w:type="pct"/>
        <w:tblLook w:val="04A0" w:firstRow="1" w:lastRow="0" w:firstColumn="1" w:lastColumn="0" w:noHBand="0" w:noVBand="1"/>
      </w:tblPr>
      <w:tblGrid>
        <w:gridCol w:w="375"/>
        <w:gridCol w:w="1214"/>
      </w:tblGrid>
      <w:tr w:rsidR="00C232D7" w14:paraId="7CDC17DE" w14:textId="77777777">
        <w:tc>
          <w:tcPr>
            <w:tcW w:w="0" w:type="auto"/>
          </w:tcPr>
          <w:p w14:paraId="33FC5DA2" w14:textId="77777777" w:rsidR="00C232D7" w:rsidRDefault="00DC6A9F">
            <w:pPr>
              <w:pStyle w:val="Compact"/>
            </w:pPr>
            <w:r>
              <w:t>A</w:t>
            </w:r>
          </w:p>
        </w:tc>
        <w:tc>
          <w:tcPr>
            <w:tcW w:w="0" w:type="auto"/>
          </w:tcPr>
          <w:p w14:paraId="73A0DA1A" w14:textId="77777777" w:rsidR="00C232D7" w:rsidRDefault="00DC6A9F">
            <w:pPr>
              <w:pStyle w:val="Compact"/>
            </w:pPr>
            <w:r>
              <w:t>100–90%</w:t>
            </w:r>
          </w:p>
        </w:tc>
      </w:tr>
      <w:tr w:rsidR="00C232D7" w14:paraId="653A061A" w14:textId="77777777">
        <w:tc>
          <w:tcPr>
            <w:tcW w:w="0" w:type="auto"/>
          </w:tcPr>
          <w:p w14:paraId="228CACBE" w14:textId="77777777" w:rsidR="00C232D7" w:rsidRDefault="00DC6A9F">
            <w:pPr>
              <w:pStyle w:val="Compact"/>
            </w:pPr>
            <w:r>
              <w:t>B</w:t>
            </w:r>
          </w:p>
        </w:tc>
        <w:tc>
          <w:tcPr>
            <w:tcW w:w="0" w:type="auto"/>
          </w:tcPr>
          <w:p w14:paraId="09CBA9B4" w14:textId="77777777" w:rsidR="00C232D7" w:rsidRDefault="00DC6A9F">
            <w:pPr>
              <w:pStyle w:val="Compact"/>
            </w:pPr>
            <w:r>
              <w:t>89–80%</w:t>
            </w:r>
          </w:p>
        </w:tc>
      </w:tr>
      <w:tr w:rsidR="00C232D7" w14:paraId="4A71D51A" w14:textId="77777777">
        <w:tc>
          <w:tcPr>
            <w:tcW w:w="0" w:type="auto"/>
          </w:tcPr>
          <w:p w14:paraId="7E08F79F" w14:textId="77777777" w:rsidR="00C232D7" w:rsidRDefault="00DC6A9F">
            <w:pPr>
              <w:pStyle w:val="Compact"/>
            </w:pPr>
            <w:r>
              <w:t>C</w:t>
            </w:r>
          </w:p>
        </w:tc>
        <w:tc>
          <w:tcPr>
            <w:tcW w:w="0" w:type="auto"/>
          </w:tcPr>
          <w:p w14:paraId="39108958" w14:textId="77777777" w:rsidR="00C232D7" w:rsidRDefault="00DC6A9F">
            <w:pPr>
              <w:pStyle w:val="Compact"/>
            </w:pPr>
            <w:r>
              <w:t>79–70%</w:t>
            </w:r>
          </w:p>
        </w:tc>
      </w:tr>
      <w:tr w:rsidR="00C232D7" w14:paraId="719F4EAC" w14:textId="77777777">
        <w:tc>
          <w:tcPr>
            <w:tcW w:w="0" w:type="auto"/>
          </w:tcPr>
          <w:p w14:paraId="0C092203" w14:textId="77777777" w:rsidR="00C232D7" w:rsidRDefault="00DC6A9F">
            <w:pPr>
              <w:pStyle w:val="Compact"/>
            </w:pPr>
            <w:r>
              <w:t>D</w:t>
            </w:r>
          </w:p>
        </w:tc>
        <w:tc>
          <w:tcPr>
            <w:tcW w:w="0" w:type="auto"/>
          </w:tcPr>
          <w:p w14:paraId="556A7F37" w14:textId="77777777" w:rsidR="00C232D7" w:rsidRDefault="00DC6A9F">
            <w:pPr>
              <w:pStyle w:val="Compact"/>
            </w:pPr>
            <w:r>
              <w:t>69–60%</w:t>
            </w:r>
          </w:p>
        </w:tc>
      </w:tr>
      <w:tr w:rsidR="00C232D7" w14:paraId="3155574F" w14:textId="77777777">
        <w:tc>
          <w:tcPr>
            <w:tcW w:w="0" w:type="auto"/>
          </w:tcPr>
          <w:p w14:paraId="079A19B1" w14:textId="77777777" w:rsidR="00C232D7" w:rsidRDefault="00DC6A9F">
            <w:pPr>
              <w:pStyle w:val="Compact"/>
            </w:pPr>
            <w:r>
              <w:t>E</w:t>
            </w:r>
          </w:p>
        </w:tc>
        <w:tc>
          <w:tcPr>
            <w:tcW w:w="0" w:type="auto"/>
          </w:tcPr>
          <w:p w14:paraId="3DD862DC" w14:textId="77777777" w:rsidR="00C232D7" w:rsidRDefault="00DC6A9F">
            <w:pPr>
              <w:pStyle w:val="Compact"/>
            </w:pPr>
            <w:r>
              <w:t>59–0%</w:t>
            </w:r>
          </w:p>
        </w:tc>
      </w:tr>
    </w:tbl>
    <w:p w14:paraId="32032CD2" w14:textId="77777777" w:rsidR="00C232D7" w:rsidRDefault="00DC6A9F">
      <w:pPr>
        <w:pStyle w:val="Heading2"/>
      </w:pPr>
      <w:bookmarkStart w:id="6" w:name="attendance"/>
      <w:bookmarkEnd w:id="6"/>
      <w:r>
        <w:lastRenderedPageBreak/>
        <w:t>Attendance</w:t>
      </w:r>
    </w:p>
    <w:p w14:paraId="3EDB33D4" w14:textId="77777777" w:rsidR="00C232D7" w:rsidRDefault="00DC6A9F">
      <w:r>
        <w:t xml:space="preserve">Although attendance does not compose its own segment of the grade, it is mandatory and failure to attend class will adversely impact your grade. Roll will be taken at the beginning of every class period. </w:t>
      </w:r>
      <w:r>
        <w:t xml:space="preserve">Perfect attendance will result in an extra credit of +2 percentage points. The first 2 unexcused absences will not count against you, but beginning with the 3rd absence, each absence will subtract 2 percentage points from your final grade. This goes to a </w:t>
      </w:r>
      <w:r>
        <w:rPr>
          <w:b/>
        </w:rPr>
        <w:t>l</w:t>
      </w:r>
      <w:r>
        <w:rPr>
          <w:b/>
        </w:rPr>
        <w:t>imit of 7 unexcused absences</w:t>
      </w:r>
      <w:r>
        <w:t xml:space="preserve"> at which point you can no longer pass the class. For your reference:</w:t>
      </w:r>
    </w:p>
    <w:tbl>
      <w:tblPr>
        <w:tblW w:w="0" w:type="pct"/>
        <w:tblLook w:val="04A0" w:firstRow="1" w:lastRow="0" w:firstColumn="1" w:lastColumn="0" w:noHBand="0" w:noVBand="1"/>
      </w:tblPr>
      <w:tblGrid>
        <w:gridCol w:w="2327"/>
        <w:gridCol w:w="3659"/>
      </w:tblGrid>
      <w:tr w:rsidR="00C232D7" w14:paraId="51109339" w14:textId="77777777">
        <w:tc>
          <w:tcPr>
            <w:tcW w:w="0" w:type="auto"/>
            <w:tcBorders>
              <w:bottom w:val="single" w:sz="0" w:space="0" w:color="auto"/>
            </w:tcBorders>
            <w:vAlign w:val="bottom"/>
          </w:tcPr>
          <w:p w14:paraId="7A60270D" w14:textId="77777777" w:rsidR="00C232D7" w:rsidRDefault="00DC6A9F">
            <w:pPr>
              <w:pStyle w:val="Compact"/>
            </w:pPr>
            <w:r>
              <w:t>Number of Absences</w:t>
            </w:r>
          </w:p>
        </w:tc>
        <w:tc>
          <w:tcPr>
            <w:tcW w:w="0" w:type="auto"/>
            <w:tcBorders>
              <w:bottom w:val="single" w:sz="0" w:space="0" w:color="auto"/>
            </w:tcBorders>
            <w:vAlign w:val="bottom"/>
          </w:tcPr>
          <w:p w14:paraId="55C71229" w14:textId="77777777" w:rsidR="00C232D7" w:rsidRDefault="00DC6A9F">
            <w:pPr>
              <w:pStyle w:val="Compact"/>
            </w:pPr>
            <w:r>
              <w:t>Percentage Change to Final Grade</w:t>
            </w:r>
          </w:p>
        </w:tc>
      </w:tr>
      <w:tr w:rsidR="00C232D7" w14:paraId="2702A3A9" w14:textId="77777777">
        <w:tc>
          <w:tcPr>
            <w:tcW w:w="0" w:type="auto"/>
          </w:tcPr>
          <w:p w14:paraId="03ECD3DE" w14:textId="77777777" w:rsidR="00C232D7" w:rsidRDefault="00DC6A9F">
            <w:pPr>
              <w:pStyle w:val="Compact"/>
            </w:pPr>
            <w:r>
              <w:t>0</w:t>
            </w:r>
          </w:p>
        </w:tc>
        <w:tc>
          <w:tcPr>
            <w:tcW w:w="0" w:type="auto"/>
          </w:tcPr>
          <w:p w14:paraId="2F889D2D" w14:textId="77777777" w:rsidR="00C232D7" w:rsidRDefault="00DC6A9F">
            <w:pPr>
              <w:pStyle w:val="Compact"/>
            </w:pPr>
            <m:oMathPara>
              <m:oMath>
                <m:r>
                  <m:rPr>
                    <m:sty m:val="p"/>
                  </m:rPr>
                  <w:rPr>
                    <w:rFonts w:ascii="Cambria Math" w:hAnsi="Cambria Math"/>
                  </w:rPr>
                  <m:t>+2</m:t>
                </m:r>
              </m:oMath>
            </m:oMathPara>
          </w:p>
        </w:tc>
      </w:tr>
      <w:tr w:rsidR="00C232D7" w14:paraId="2E8E383B" w14:textId="77777777">
        <w:tc>
          <w:tcPr>
            <w:tcW w:w="0" w:type="auto"/>
          </w:tcPr>
          <w:p w14:paraId="2B4D5BD8" w14:textId="77777777" w:rsidR="00C232D7" w:rsidRDefault="00DC6A9F">
            <w:pPr>
              <w:pStyle w:val="Compact"/>
            </w:pPr>
            <w:r>
              <w:t>1</w:t>
            </w:r>
          </w:p>
        </w:tc>
        <w:tc>
          <w:tcPr>
            <w:tcW w:w="0" w:type="auto"/>
          </w:tcPr>
          <w:p w14:paraId="51C931F4" w14:textId="77777777" w:rsidR="00C232D7" w:rsidRDefault="00DC6A9F">
            <w:pPr>
              <w:pStyle w:val="Compact"/>
            </w:pPr>
            <w:r>
              <w:t>0</w:t>
            </w:r>
          </w:p>
        </w:tc>
      </w:tr>
      <w:tr w:rsidR="00C232D7" w14:paraId="79A88B07" w14:textId="77777777">
        <w:tc>
          <w:tcPr>
            <w:tcW w:w="0" w:type="auto"/>
          </w:tcPr>
          <w:p w14:paraId="210FFA10" w14:textId="77777777" w:rsidR="00C232D7" w:rsidRDefault="00DC6A9F">
            <w:pPr>
              <w:pStyle w:val="Compact"/>
            </w:pPr>
            <w:r>
              <w:t>2</w:t>
            </w:r>
          </w:p>
        </w:tc>
        <w:tc>
          <w:tcPr>
            <w:tcW w:w="0" w:type="auto"/>
          </w:tcPr>
          <w:p w14:paraId="7CF90E5A" w14:textId="77777777" w:rsidR="00C232D7" w:rsidRDefault="00DC6A9F">
            <w:pPr>
              <w:pStyle w:val="Compact"/>
            </w:pPr>
            <w:r>
              <w:t>0</w:t>
            </w:r>
          </w:p>
        </w:tc>
      </w:tr>
      <w:tr w:rsidR="00C232D7" w14:paraId="47109874" w14:textId="77777777">
        <w:tc>
          <w:tcPr>
            <w:tcW w:w="0" w:type="auto"/>
          </w:tcPr>
          <w:p w14:paraId="51EA80F4" w14:textId="77777777" w:rsidR="00C232D7" w:rsidRDefault="00DC6A9F">
            <w:pPr>
              <w:pStyle w:val="Compact"/>
            </w:pPr>
            <w:r>
              <w:t>3</w:t>
            </w:r>
          </w:p>
        </w:tc>
        <w:tc>
          <w:tcPr>
            <w:tcW w:w="0" w:type="auto"/>
          </w:tcPr>
          <w:p w14:paraId="2C6202C2" w14:textId="77777777" w:rsidR="00C232D7" w:rsidRDefault="00DC6A9F">
            <w:pPr>
              <w:pStyle w:val="Compact"/>
            </w:pPr>
            <m:oMathPara>
              <m:oMath>
                <m:r>
                  <m:rPr>
                    <m:sty m:val="p"/>
                  </m:rPr>
                  <w:rPr>
                    <w:rFonts w:ascii="Cambria Math" w:hAnsi="Cambria Math"/>
                  </w:rPr>
                  <m:t>-</m:t>
                </m:r>
                <m:r>
                  <m:rPr>
                    <m:sty m:val="p"/>
                  </m:rPr>
                  <w:rPr>
                    <w:rFonts w:ascii="Cambria Math" w:hAnsi="Cambria Math"/>
                  </w:rPr>
                  <m:t>2</m:t>
                </m:r>
              </m:oMath>
            </m:oMathPara>
          </w:p>
        </w:tc>
      </w:tr>
      <w:tr w:rsidR="00C232D7" w14:paraId="3A0CCDAC" w14:textId="77777777">
        <w:tc>
          <w:tcPr>
            <w:tcW w:w="0" w:type="auto"/>
          </w:tcPr>
          <w:p w14:paraId="62B57B05" w14:textId="77777777" w:rsidR="00C232D7" w:rsidRDefault="00DC6A9F">
            <w:pPr>
              <w:pStyle w:val="Compact"/>
            </w:pPr>
            <w:r>
              <w:t>4</w:t>
            </w:r>
          </w:p>
        </w:tc>
        <w:tc>
          <w:tcPr>
            <w:tcW w:w="0" w:type="auto"/>
          </w:tcPr>
          <w:p w14:paraId="673D69B2" w14:textId="77777777" w:rsidR="00C232D7" w:rsidRDefault="00DC6A9F">
            <w:pPr>
              <w:pStyle w:val="Compact"/>
            </w:pPr>
            <m:oMathPara>
              <m:oMath>
                <m:r>
                  <m:rPr>
                    <m:sty m:val="p"/>
                  </m:rPr>
                  <w:rPr>
                    <w:rFonts w:ascii="Cambria Math" w:hAnsi="Cambria Math"/>
                  </w:rPr>
                  <m:t>-</m:t>
                </m:r>
                <m:r>
                  <m:rPr>
                    <m:sty m:val="p"/>
                  </m:rPr>
                  <w:rPr>
                    <w:rFonts w:ascii="Cambria Math" w:hAnsi="Cambria Math"/>
                  </w:rPr>
                  <m:t>4</m:t>
                </m:r>
              </m:oMath>
            </m:oMathPara>
          </w:p>
        </w:tc>
      </w:tr>
      <w:tr w:rsidR="00C232D7" w14:paraId="25AB3995" w14:textId="77777777">
        <w:tc>
          <w:tcPr>
            <w:tcW w:w="0" w:type="auto"/>
          </w:tcPr>
          <w:p w14:paraId="183B0A91" w14:textId="77777777" w:rsidR="00C232D7" w:rsidRDefault="00DC6A9F">
            <w:pPr>
              <w:pStyle w:val="Compact"/>
            </w:pPr>
            <w:r>
              <w:t>5</w:t>
            </w:r>
          </w:p>
        </w:tc>
        <w:tc>
          <w:tcPr>
            <w:tcW w:w="0" w:type="auto"/>
          </w:tcPr>
          <w:p w14:paraId="2C11104E" w14:textId="77777777" w:rsidR="00C232D7" w:rsidRDefault="00DC6A9F">
            <w:pPr>
              <w:pStyle w:val="Compact"/>
            </w:pPr>
            <m:oMathPara>
              <m:oMath>
                <m:r>
                  <m:rPr>
                    <m:sty m:val="p"/>
                  </m:rPr>
                  <w:rPr>
                    <w:rFonts w:ascii="Cambria Math" w:hAnsi="Cambria Math"/>
                  </w:rPr>
                  <m:t>-</m:t>
                </m:r>
                <m:r>
                  <m:rPr>
                    <m:sty m:val="p"/>
                  </m:rPr>
                  <w:rPr>
                    <w:rFonts w:ascii="Cambria Math" w:hAnsi="Cambria Math"/>
                  </w:rPr>
                  <m:t>6</m:t>
                </m:r>
              </m:oMath>
            </m:oMathPara>
          </w:p>
        </w:tc>
      </w:tr>
      <w:tr w:rsidR="00C232D7" w14:paraId="4563DE47" w14:textId="77777777">
        <w:tc>
          <w:tcPr>
            <w:tcW w:w="0" w:type="auto"/>
          </w:tcPr>
          <w:p w14:paraId="34CCDA47" w14:textId="77777777" w:rsidR="00C232D7" w:rsidRDefault="00DC6A9F">
            <w:pPr>
              <w:pStyle w:val="Compact"/>
            </w:pPr>
            <w:r>
              <w:t>6</w:t>
            </w:r>
          </w:p>
        </w:tc>
        <w:tc>
          <w:tcPr>
            <w:tcW w:w="0" w:type="auto"/>
          </w:tcPr>
          <w:p w14:paraId="31DEA4C5" w14:textId="77777777" w:rsidR="00C232D7" w:rsidRDefault="00DC6A9F">
            <w:pPr>
              <w:pStyle w:val="Compact"/>
            </w:pPr>
            <m:oMathPara>
              <m:oMath>
                <m:r>
                  <m:rPr>
                    <m:sty m:val="p"/>
                  </m:rPr>
                  <w:rPr>
                    <w:rFonts w:ascii="Cambria Math" w:hAnsi="Cambria Math"/>
                  </w:rPr>
                  <m:t>-</m:t>
                </m:r>
                <m:r>
                  <m:rPr>
                    <m:sty m:val="p"/>
                  </m:rPr>
                  <w:rPr>
                    <w:rFonts w:ascii="Cambria Math" w:hAnsi="Cambria Math"/>
                  </w:rPr>
                  <m:t>8</m:t>
                </m:r>
              </m:oMath>
            </m:oMathPara>
          </w:p>
        </w:tc>
      </w:tr>
      <w:tr w:rsidR="00C232D7" w14:paraId="23F1E374" w14:textId="77777777">
        <w:tc>
          <w:tcPr>
            <w:tcW w:w="0" w:type="auto"/>
          </w:tcPr>
          <w:p w14:paraId="235312ED" w14:textId="77777777" w:rsidR="00C232D7" w:rsidRDefault="00DC6A9F">
            <w:pPr>
              <w:pStyle w:val="Compact"/>
            </w:pPr>
            <w:r>
              <w:t>7</w:t>
            </w:r>
          </w:p>
        </w:tc>
        <w:tc>
          <w:tcPr>
            <w:tcW w:w="0" w:type="auto"/>
          </w:tcPr>
          <w:p w14:paraId="4509CC5D" w14:textId="77777777" w:rsidR="00C232D7" w:rsidRDefault="00DC6A9F">
            <w:pPr>
              <w:pStyle w:val="Compact"/>
            </w:pPr>
            <m:oMathPara>
              <m:oMath>
                <m:r>
                  <m:rPr>
                    <m:sty m:val="p"/>
                  </m:rPr>
                  <w:rPr>
                    <w:rFonts w:ascii="Cambria Math" w:hAnsi="Cambria Math"/>
                  </w:rPr>
                  <m:t>-</m:t>
                </m:r>
                <m:r>
                  <m:rPr>
                    <m:sty m:val="p"/>
                  </m:rPr>
                  <w:rPr>
                    <w:rFonts w:ascii="Cambria Math" w:hAnsi="Cambria Math"/>
                  </w:rPr>
                  <m:t>50</m:t>
                </m:r>
              </m:oMath>
            </m:oMathPara>
          </w:p>
        </w:tc>
      </w:tr>
    </w:tbl>
    <w:p w14:paraId="11AFA08D" w14:textId="77777777" w:rsidR="00C232D7" w:rsidRDefault="00DC6A9F">
      <w:r>
        <w:t>I keep track of absences by calling roll at the beginning of each class. If you do not respond when I call your name (perhaps because you are not there) you will be marked as absent. This means that if you walk in late it is your responsibility to check in</w:t>
      </w:r>
      <w:r>
        <w:t xml:space="preserve"> with me each and every time. Lateness, especially if egregious or repeated, may be counted as an absence for the day. You are always welcome to look at your record and I encourage you to do so because it is your responsibility to keep track of how many ab</w:t>
      </w:r>
      <w:r>
        <w:t>sences I have recorded. This is especially important for students who are in danger of failing the class because of absences. I probably will not notice when you have six absences, so I am unlikely to notify you when you are in danger of failing.</w:t>
      </w:r>
    </w:p>
    <w:p w14:paraId="19AEF8AC" w14:textId="77777777" w:rsidR="00C232D7" w:rsidRDefault="00DC6A9F">
      <w:r>
        <w:t xml:space="preserve">Whenever </w:t>
      </w:r>
      <w:r>
        <w:t>a student knows in advance that he or she will miss class (as for a scheduled college-sponsored activity), the student should discuss the absence with me prior to the event, and the student’s participation in the event should be confirmed by a communicatio</w:t>
      </w:r>
      <w:r>
        <w:t>n from the event sponsor. When a student’s participation in college-sponsored activities or other scheduled events will require multiple absences, the student should discuss the potential for those absences with me prior to the end of the first week of cla</w:t>
      </w:r>
      <w:r>
        <w:t>sses.</w:t>
      </w:r>
    </w:p>
    <w:p w14:paraId="6886A1D8" w14:textId="77777777" w:rsidR="00C232D7" w:rsidRDefault="00DC6A9F">
      <w:r>
        <w:t>Students missing class or an exam due to an excused absence (e.g. for sickness) bear the responsibility of informing me about their absence within one week following the period of the absence and of providing appropriate documentation for the absence</w:t>
      </w:r>
      <w:r>
        <w:t xml:space="preserve">. Excused absences are not taken into account in the above adjustment to the final grade. It is entirely the student’s responsibility to make up missed work. </w:t>
      </w:r>
      <w:r>
        <w:lastRenderedPageBreak/>
        <w:t>Make up work (including exams) must be submitted within one week of return to class. In general, I</w:t>
      </w:r>
      <w:r>
        <w:t xml:space="preserve"> do not excuse on-line assignments.</w:t>
      </w:r>
    </w:p>
    <w:p w14:paraId="0FFBC0A0" w14:textId="77777777" w:rsidR="00C232D7" w:rsidRDefault="00DC6A9F">
      <w:pPr>
        <w:pStyle w:val="Heading2"/>
      </w:pPr>
      <w:bookmarkStart w:id="7" w:name="e-mail-and-internet"/>
      <w:bookmarkEnd w:id="7"/>
      <w:r>
        <w:t>E-mail and Internet</w:t>
      </w:r>
    </w:p>
    <w:p w14:paraId="481975D8" w14:textId="77777777" w:rsidR="00C232D7" w:rsidRDefault="00DC6A9F">
      <w:r>
        <w:t>You are expected to have an active e-mail account that you check regularly. Section related announcements will be made via e-mail (e.g. if I am sick, pointers for home work, change in due dates). Also</w:t>
      </w:r>
      <w:r>
        <w:t>, e-mail is the best way for contacting me outside of class.</w:t>
      </w:r>
    </w:p>
    <w:p w14:paraId="13CAB065" w14:textId="77777777" w:rsidR="00C232D7" w:rsidRDefault="00DC6A9F">
      <w:r>
        <w:t>You are expected to have access to a stable internet connection as reading quizzes are carried out through Moodle. I will not reset quizzes because of internet trouble (doing so is simply too eas</w:t>
      </w:r>
      <w:r>
        <w:t>y to abuse and has been in the past). Instead, I will be dropping the lowest reading quiz score for everyone.</w:t>
      </w:r>
    </w:p>
    <w:p w14:paraId="61DDCCC2" w14:textId="77777777" w:rsidR="00C232D7" w:rsidRDefault="00DC6A9F">
      <w:pPr>
        <w:pStyle w:val="Heading2"/>
      </w:pPr>
      <w:bookmarkStart w:id="8" w:name="respectful-behavior"/>
      <w:bookmarkEnd w:id="8"/>
      <w:r>
        <w:t>Respectful Behavior</w:t>
      </w:r>
    </w:p>
    <w:p w14:paraId="150525EA" w14:textId="77777777" w:rsidR="00C232D7" w:rsidRDefault="00DC6A9F">
      <w:r>
        <w:t>Mature, respectful behavior is expected in class. The primary concern is that all students are able to enjoy a focused, helpful classroom. This means that I expect you will among other things: arrive to class on time, stay awake, refrain from taking cell p</w:t>
      </w:r>
      <w:r>
        <w:t>hone calls, playing games, or doing work for other classes. I will warn you once during a semester if a particular behavior is disruptive. If this behavior happens again, I may ask you to leave resulting in an absence for the day.</w:t>
      </w:r>
    </w:p>
    <w:p w14:paraId="018C4A05" w14:textId="77777777" w:rsidR="00C232D7" w:rsidRDefault="00DC6A9F">
      <w:r>
        <w:t>Class time is primarily f</w:t>
      </w:r>
      <w:r>
        <w:t>ocused on discussion of the material for which I expect you to be fully engaged. For this reason, I prohibit the use of electronic devices in class.</w:t>
      </w:r>
    </w:p>
    <w:p w14:paraId="7E004448" w14:textId="77777777" w:rsidR="00C232D7" w:rsidRDefault="00DC6A9F">
      <w:pPr>
        <w:pStyle w:val="Heading2"/>
      </w:pPr>
      <w:bookmarkStart w:id="9" w:name="academic-integrity"/>
      <w:bookmarkEnd w:id="9"/>
      <w:r>
        <w:t>Academic Integrity</w:t>
      </w:r>
    </w:p>
    <w:p w14:paraId="6B486D46" w14:textId="77777777" w:rsidR="00C232D7" w:rsidRDefault="00DC6A9F">
      <w:r>
        <w:t>Cheating robs other students of a fair grade. If it is determined that a student has che</w:t>
      </w:r>
      <w:r>
        <w:t>ated, all students involved will receive a grade of zero for the assignment. If the case is egregious, I will direct the case to the appropriate university dean for official sanction. Please see the Academic Honesty Policy in your Student Handbook.</w:t>
      </w:r>
    </w:p>
    <w:p w14:paraId="54950A31" w14:textId="77777777" w:rsidR="00C232D7" w:rsidRDefault="00DC6A9F">
      <w:pPr>
        <w:pStyle w:val="Heading2"/>
      </w:pPr>
      <w:bookmarkStart w:id="10" w:name="disability-accommodations"/>
      <w:bookmarkEnd w:id="10"/>
      <w:r>
        <w:t>Disabil</w:t>
      </w:r>
      <w:r>
        <w:t>ity Accommodations</w:t>
      </w:r>
    </w:p>
    <w:p w14:paraId="74B4EC10" w14:textId="77777777" w:rsidR="00C232D7" w:rsidRDefault="00DC6A9F">
      <w:r>
        <w:t>If you are registered to receive accommodations for a disability, please discuss them with me during the first week of class. You will need official documentation from Lloyd Clark in the Wellness Center (x7074).</w:t>
      </w:r>
    </w:p>
    <w:p w14:paraId="5BD12217" w14:textId="77777777" w:rsidR="00C232D7" w:rsidRDefault="00DC6A9F">
      <w:pPr>
        <w:pStyle w:val="Heading2"/>
      </w:pPr>
      <w:bookmarkStart w:id="11" w:name="schedule"/>
      <w:bookmarkEnd w:id="11"/>
      <w:r>
        <w:t>Schedule</w:t>
      </w:r>
    </w:p>
    <w:p w14:paraId="0115A500" w14:textId="77777777" w:rsidR="00C232D7" w:rsidRDefault="00DC6A9F">
      <w:r>
        <w:t xml:space="preserve">(See </w:t>
      </w:r>
      <w:hyperlink r:id="rId10">
        <w:r>
          <w:rPr>
            <w:rStyle w:val="Link"/>
          </w:rPr>
          <w:t>separate document</w:t>
        </w:r>
      </w:hyperlink>
      <w:r>
        <w:t xml:space="preserve"> for our projected schedule of topics and readings.)</w:t>
      </w:r>
    </w:p>
    <w:sectPr w:rsidR="00C232D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186643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B0FED26"/>
    <w:multiLevelType w:val="multilevel"/>
    <w:tmpl w:val="92204A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B36B3E4"/>
    <w:multiLevelType w:val="multilevel"/>
    <w:tmpl w:val="7A244F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8D6863"/>
    <w:rsid w:val="00B86B75"/>
    <w:rsid w:val="00BC48D5"/>
    <w:rsid w:val="00C232D7"/>
    <w:rsid w:val="00C36279"/>
    <w:rsid w:val="00DC6A9F"/>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6E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alloonText">
    <w:name w:val="Balloon Text"/>
    <w:basedOn w:val="Normal"/>
    <w:link w:val="BalloonTextChar"/>
    <w:rsid w:val="00DC6A9F"/>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DC6A9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age.georgetowncollege.edu/course/view.php?id=3720" TargetMode="External"/><Relationship Id="rId7" Type="http://schemas.openxmlformats.org/officeDocument/2006/relationships/hyperlink" Target="http://dansheffler.com/phi201schedule/" TargetMode="External"/><Relationship Id="rId8" Type="http://schemas.openxmlformats.org/officeDocument/2006/relationships/hyperlink" Target="http://dansheffler.com/phi201presentations/" TargetMode="External"/><Relationship Id="rId9" Type="http://schemas.openxmlformats.org/officeDocument/2006/relationships/hyperlink" Target="http://www.dansheffler.com/phi201analysispaper/" TargetMode="External"/><Relationship Id="rId10" Type="http://schemas.openxmlformats.org/officeDocument/2006/relationships/hyperlink" Target="http://dansheffler.com/phi201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1280</Words>
  <Characters>7297</Characters>
  <Application>Microsoft Macintosh Word</Application>
  <DocSecurity>0</DocSecurity>
  <Lines>60</Lines>
  <Paragraphs>17</Paragraphs>
  <ScaleCrop>false</ScaleCrop>
  <Company/>
  <LinksUpToDate>false</LinksUpToDate>
  <CharactersWithSpaces>8560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201 2018 Spring Syllabus</dc:title>
  <dc:creator/>
  <cp:lastModifiedBy>Dan Sheffler</cp:lastModifiedBy>
  <cp:revision>2</cp:revision>
  <dcterms:created xsi:type="dcterms:W3CDTF">2018-03-16T17:16:00Z</dcterms:created>
  <dcterms:modified xsi:type="dcterms:W3CDTF">2018-03-16T17:16:00Z</dcterms:modified>
</cp:coreProperties>
</file>