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80"/>
        <w:jc w:val="center"/>
        <w:rPr/>
      </w:pPr>
      <w:r>
        <w:rPr>
          <w:rFonts w:eastAsia="Arial" w:cs="Arial"/>
          <w:b/>
          <w:bCs/>
          <w:color w:val="1A2F4E"/>
          <w:sz w:val="40"/>
          <w:szCs w:val="40"/>
        </w:rPr>
        <w:t>ATLAS PROJECT</w:t>
      </w:r>
    </w:p>
    <w:p>
      <w:pPr>
        <w:pStyle w:val="Normal"/>
        <w:spacing w:before="0" w:after="80"/>
        <w:jc w:val="center"/>
        <w:rPr/>
      </w:pPr>
      <w:r>
        <w:rPr>
          <w:rFonts w:eastAsia="Arial" w:cs="Arial"/>
          <w:color w:val="666666"/>
          <w:sz w:val="22"/>
          <w:szCs w:val="22"/>
        </w:rPr>
        <w:t>Internal Observation Paper — Lane 2 / Private Atlas Method</w:t>
      </w:r>
    </w:p>
    <w:p>
      <w:pPr>
        <w:pStyle w:val="Normal"/>
        <w:spacing w:before="0" w:after="80"/>
        <w:jc w:val="center"/>
        <w:rPr/>
      </w:pPr>
      <w:r>
        <w:rPr>
          <w:rFonts w:eastAsia="Arial" w:cs="Arial"/>
          <w:color w:val="666666"/>
          <w:sz w:val="22"/>
          <w:szCs w:val="22"/>
        </w:rPr>
        <w:t>Claude Wing</w:t>
      </w:r>
    </w:p>
    <w:p>
      <w:pPr>
        <w:pStyle w:val="Normal"/>
        <w:spacing w:before="200" w:after="40"/>
        <w:rPr/>
      </w:pPr>
      <w:r>
        <w:rPr/>
      </w:r>
    </w:p>
    <w:p>
      <w:pPr>
        <w:pStyle w:val="Normal"/>
        <w:spacing w:before="0" w:after="80"/>
        <w:jc w:val="center"/>
        <w:rPr/>
      </w:pPr>
      <w:r>
        <w:rPr>
          <w:rFonts w:eastAsia="Arial" w:cs="Arial"/>
          <w:b/>
          <w:bCs/>
          <w:color w:val="1F4E79"/>
          <w:sz w:val="36"/>
          <w:szCs w:val="36"/>
        </w:rPr>
        <w:t>Context-Provider Limbo and the Observer Boundary Problem in Atlas Parity Networks</w:t>
      </w:r>
    </w:p>
    <w:p>
      <w:pPr>
        <w:pStyle w:val="Normal"/>
        <w:spacing w:before="80" w:after="40"/>
        <w:rPr/>
      </w:pPr>
      <w:r>
        <w:rPr/>
      </w:r>
    </w:p>
    <w:p>
      <w:pPr>
        <w:pStyle w:val="Normal"/>
        <w:spacing w:before="0" w:after="60"/>
        <w:jc w:val="center"/>
        <w:rPr/>
      </w:pPr>
      <w:r>
        <w:rPr>
          <w:rFonts w:eastAsia="Arial" w:cs="Arial"/>
          <w:color w:val="666666"/>
          <w:sz w:val="22"/>
          <w:szCs w:val="22"/>
        </w:rPr>
        <w:t>Daniel Scieszinski  ·  Claude (Anthropic)</w:t>
      </w:r>
    </w:p>
    <w:p>
      <w:pPr>
        <w:pStyle w:val="Normal"/>
        <w:spacing w:before="0" w:after="60"/>
        <w:jc w:val="center"/>
        <w:rPr/>
      </w:pPr>
      <w:r>
        <w:rPr>
          <w:rFonts w:eastAsia="Arial" w:cs="Arial"/>
          <w:color w:val="666666"/>
          <w:sz w:val="22"/>
          <w:szCs w:val="22"/>
        </w:rPr>
        <w:t>2026-04-26</w:t>
      </w:r>
    </w:p>
    <w:p>
      <w:pPr>
        <w:pStyle w:val="Normal"/>
        <w:spacing w:before="0" w:after="60"/>
        <w:jc w:val="center"/>
        <w:rPr/>
      </w:pPr>
      <w:r>
        <w:rPr>
          <w:rFonts w:eastAsia="Arial" w:cs="Arial"/>
          <w:i/>
          <w:iCs/>
          <w:color w:val="666666"/>
          <w:sz w:val="20"/>
          <w:szCs w:val="20"/>
        </w:rPr>
        <w:t>Version 0.1 — First observation draft</w:t>
      </w:r>
    </w:p>
    <w:p>
      <w:pPr>
        <w:pStyle w:val="Normal"/>
        <w:pBdr>
          <w:bottom w:val="single" w:sz="2" w:space="1" w:color="C8D0DC"/>
        </w:pBdr>
        <w:spacing w:before="200" w:after="200"/>
        <w:rPr/>
      </w:pPr>
      <w:r>
        <w:rPr/>
      </w:r>
    </w:p>
    <w:p>
      <w:pPr>
        <w:pStyle w:val="Normal"/>
        <w:spacing w:before="200" w:after="80"/>
        <w:rPr/>
      </w:pPr>
      <w:r>
        <w:rPr>
          <w:rFonts w:eastAsia="Arial" w:cs="Arial"/>
          <w:b/>
          <w:bCs/>
          <w:color w:val="3A3A3A"/>
          <w:sz w:val="22"/>
          <w:szCs w:val="22"/>
        </w:rPr>
        <w:t>Claim Discipline Key</w:t>
      </w:r>
    </w:p>
    <w:p>
      <w:pPr>
        <w:pStyle w:val="Normal"/>
        <w:spacing w:before="40" w:after="40"/>
        <w:rPr/>
      </w:pPr>
      <w:r>
        <w:rPr/>
      </w:r>
    </w:p>
    <w:tbl>
      <w:tblPr>
        <w:tblW w:w="9360" w:type="dxa"/>
        <w:jc w:val="start"/>
        <w:tblInd w:w="0" w:type="dxa"/>
        <w:tblLayout w:type="fixed"/>
        <w:tblCellMar>
          <w:top w:w="100" w:type="dxa"/>
          <w:start w:w="160" w:type="dxa"/>
          <w:bottom w:w="100" w:type="dxa"/>
          <w:end w:w="160" w:type="dxa"/>
        </w:tblCellMar>
      </w:tblPr>
      <w:tblGrid>
        <w:gridCol w:w="1199"/>
        <w:gridCol w:w="8161"/>
      </w:tblGrid>
      <w:tr>
        <w:trPr/>
        <w:tc>
          <w:tcPr>
            <w:tcW w:w="1199" w:type="dxa"/>
            <w:tcBorders>
              <w:top w:val="single" w:sz="2" w:space="0" w:color="C8D0DC"/>
              <w:start w:val="single" w:sz="2" w:space="0" w:color="C8D0DC"/>
              <w:bottom w:val="single" w:sz="2" w:space="0" w:color="C8D0DC"/>
              <w:end w:val="single" w:sz="2" w:space="0" w:color="C8D0DC"/>
            </w:tcBorders>
            <w:shd w:fill="F5F7FA" w:val="clear"/>
            <w:vAlign w:val="center"/>
          </w:tcPr>
          <w:p>
            <w:pPr>
              <w:pStyle w:val="Normal"/>
              <w:jc w:val="center"/>
              <w:rPr/>
            </w:pPr>
            <w:r>
              <w:rPr>
                <w:rFonts w:eastAsia="Arial" w:cs="Arial"/>
                <w:b/>
                <w:bCs/>
                <w:color w:val="1A4A1A"/>
                <w:sz w:val="18"/>
                <w:szCs w:val="18"/>
              </w:rPr>
              <w:t>ESTABLISHED</w:t>
            </w:r>
          </w:p>
        </w:tc>
        <w:tc>
          <w:tcPr>
            <w:tcW w:w="8161" w:type="dxa"/>
            <w:tcBorders>
              <w:top w:val="single" w:sz="2" w:space="0" w:color="C8D0DC"/>
              <w:start w:val="single" w:sz="2" w:space="0" w:color="C8D0DC"/>
              <w:bottom w:val="single" w:sz="2" w:space="0" w:color="C8D0DC"/>
              <w:end w:val="single" w:sz="2" w:space="0" w:color="C8D0DC"/>
            </w:tcBorders>
            <w:shd w:fill="FFFFFF" w:val="clear"/>
            <w:tcMar>
              <w:start w:w="180" w:type="dxa"/>
              <w:end w:w="180" w:type="dxa"/>
            </w:tcMar>
          </w:tcPr>
          <w:p>
            <w:pPr>
              <w:pStyle w:val="Normal"/>
              <w:rPr/>
            </w:pPr>
            <w:r>
              <w:rPr>
                <w:rFonts w:eastAsia="Arial" w:cs="Arial"/>
                <w:i/>
                <w:iCs/>
                <w:color w:val="3A3A3A"/>
                <w:sz w:val="21"/>
                <w:szCs w:val="21"/>
              </w:rPr>
              <w:t>Result confirmed in the ledger. Reproducible. Directly supported by extraction diagnostics.</w:t>
            </w:r>
          </w:p>
        </w:tc>
      </w:tr>
    </w:tbl>
    <w:p>
      <w:pPr>
        <w:pStyle w:val="Normal"/>
        <w:spacing w:before="40" w:after="40"/>
        <w:rPr/>
      </w:pPr>
      <w:r>
        <w:rPr/>
      </w:r>
    </w:p>
    <w:tbl>
      <w:tblPr>
        <w:tblW w:w="9360" w:type="dxa"/>
        <w:jc w:val="start"/>
        <w:tblInd w:w="0" w:type="dxa"/>
        <w:tblLayout w:type="fixed"/>
        <w:tblCellMar>
          <w:top w:w="100" w:type="dxa"/>
          <w:start w:w="160" w:type="dxa"/>
          <w:bottom w:w="100" w:type="dxa"/>
          <w:end w:w="160" w:type="dxa"/>
        </w:tblCellMar>
      </w:tblPr>
      <w:tblGrid>
        <w:gridCol w:w="1199"/>
        <w:gridCol w:w="8161"/>
      </w:tblGrid>
      <w:tr>
        <w:trPr/>
        <w:tc>
          <w:tcPr>
            <w:tcW w:w="1199" w:type="dxa"/>
            <w:tcBorders>
              <w:top w:val="single" w:sz="2" w:space="0" w:color="C8D0DC"/>
              <w:start w:val="single" w:sz="2" w:space="0" w:color="C8D0DC"/>
              <w:bottom w:val="single" w:sz="2" w:space="0" w:color="C8D0DC"/>
              <w:end w:val="single" w:sz="2" w:space="0" w:color="C8D0DC"/>
            </w:tcBorders>
            <w:shd w:fill="F5F7FA" w:val="clear"/>
            <w:vAlign w:val="center"/>
          </w:tcPr>
          <w:p>
            <w:pPr>
              <w:pStyle w:val="Normal"/>
              <w:jc w:val="center"/>
              <w:rPr/>
            </w:pPr>
            <w:r>
              <w:rPr>
                <w:rFonts w:eastAsia="Arial" w:cs="Arial"/>
                <w:b/>
                <w:bCs/>
                <w:color w:val="1F4E79"/>
                <w:sz w:val="18"/>
                <w:szCs w:val="18"/>
              </w:rPr>
              <w:t>STRUCTURAL OBSERVATION</w:t>
            </w:r>
          </w:p>
        </w:tc>
        <w:tc>
          <w:tcPr>
            <w:tcW w:w="8161" w:type="dxa"/>
            <w:tcBorders>
              <w:top w:val="single" w:sz="2" w:space="0" w:color="C8D0DC"/>
              <w:start w:val="single" w:sz="2" w:space="0" w:color="C8D0DC"/>
              <w:bottom w:val="single" w:sz="2" w:space="0" w:color="C8D0DC"/>
              <w:end w:val="single" w:sz="2" w:space="0" w:color="C8D0DC"/>
            </w:tcBorders>
            <w:shd w:fill="FFFFFF" w:val="clear"/>
            <w:tcMar>
              <w:start w:w="180" w:type="dxa"/>
              <w:end w:w="180" w:type="dxa"/>
            </w:tcMar>
          </w:tcPr>
          <w:p>
            <w:pPr>
              <w:pStyle w:val="Normal"/>
              <w:rPr/>
            </w:pPr>
            <w:r>
              <w:rPr>
                <w:rFonts w:eastAsia="Arial" w:cs="Arial"/>
                <w:i/>
                <w:iCs/>
                <w:color w:val="3A3A3A"/>
                <w:sz w:val="21"/>
                <w:szCs w:val="21"/>
              </w:rPr>
              <w:t>Pattern observed in the geometry. Not yet confirmed as a general law. Documented for further investigation.</w:t>
            </w:r>
          </w:p>
        </w:tc>
      </w:tr>
    </w:tbl>
    <w:p>
      <w:pPr>
        <w:pStyle w:val="Normal"/>
        <w:spacing w:before="40" w:after="40"/>
        <w:rPr/>
      </w:pPr>
      <w:r>
        <w:rPr/>
      </w:r>
    </w:p>
    <w:tbl>
      <w:tblPr>
        <w:tblW w:w="9360" w:type="dxa"/>
        <w:jc w:val="start"/>
        <w:tblInd w:w="0" w:type="dxa"/>
        <w:tblLayout w:type="fixed"/>
        <w:tblCellMar>
          <w:top w:w="100" w:type="dxa"/>
          <w:start w:w="160" w:type="dxa"/>
          <w:bottom w:w="100" w:type="dxa"/>
          <w:end w:w="160" w:type="dxa"/>
        </w:tblCellMar>
      </w:tblPr>
      <w:tblGrid>
        <w:gridCol w:w="1199"/>
        <w:gridCol w:w="8161"/>
      </w:tblGrid>
      <w:tr>
        <w:trPr/>
        <w:tc>
          <w:tcPr>
            <w:tcW w:w="1199" w:type="dxa"/>
            <w:tcBorders>
              <w:top w:val="single" w:sz="2" w:space="0" w:color="C8D0DC"/>
              <w:start w:val="single" w:sz="2" w:space="0" w:color="C8D0DC"/>
              <w:bottom w:val="single" w:sz="2" w:space="0" w:color="C8D0DC"/>
              <w:end w:val="single" w:sz="2" w:space="0" w:color="C8D0DC"/>
            </w:tcBorders>
            <w:shd w:fill="F5F7FA" w:val="clear"/>
            <w:vAlign w:val="center"/>
          </w:tcPr>
          <w:p>
            <w:pPr>
              <w:pStyle w:val="Normal"/>
              <w:jc w:val="center"/>
              <w:rPr/>
            </w:pPr>
            <w:r>
              <w:rPr>
                <w:rFonts w:eastAsia="Arial" w:cs="Arial"/>
                <w:b/>
                <w:bCs/>
                <w:color w:val="7A4A00"/>
                <w:sz w:val="18"/>
                <w:szCs w:val="18"/>
              </w:rPr>
              <w:t>SPECULATIVE HYPOTHESIS</w:t>
            </w:r>
          </w:p>
        </w:tc>
        <w:tc>
          <w:tcPr>
            <w:tcW w:w="8161" w:type="dxa"/>
            <w:tcBorders>
              <w:top w:val="single" w:sz="2" w:space="0" w:color="C8D0DC"/>
              <w:start w:val="single" w:sz="2" w:space="0" w:color="C8D0DC"/>
              <w:bottom w:val="single" w:sz="2" w:space="0" w:color="C8D0DC"/>
              <w:end w:val="single" w:sz="2" w:space="0" w:color="C8D0DC"/>
            </w:tcBorders>
            <w:shd w:fill="FFFFFF" w:val="clear"/>
            <w:tcMar>
              <w:start w:w="180" w:type="dxa"/>
              <w:end w:w="180" w:type="dxa"/>
            </w:tcMar>
          </w:tcPr>
          <w:p>
            <w:pPr>
              <w:pStyle w:val="Normal"/>
              <w:rPr/>
            </w:pPr>
            <w:r>
              <w:rPr>
                <w:rFonts w:eastAsia="Arial" w:cs="Arial"/>
                <w:i/>
                <w:iCs/>
                <w:color w:val="3A3A3A"/>
                <w:sz w:val="21"/>
                <w:szCs w:val="21"/>
              </w:rPr>
              <w:t>Proposed interpretation. Requires dedicated experiment. Not to be treated as a result.</w:t>
            </w:r>
          </w:p>
        </w:tc>
      </w:tr>
    </w:tbl>
    <w:p>
      <w:pPr>
        <w:pStyle w:val="Normal"/>
        <w:spacing w:before="40" w:after="40"/>
        <w:rPr/>
      </w:pPr>
      <w:r>
        <w:rPr/>
      </w:r>
    </w:p>
    <w:tbl>
      <w:tblPr>
        <w:tblW w:w="9360" w:type="dxa"/>
        <w:jc w:val="start"/>
        <w:tblInd w:w="0" w:type="dxa"/>
        <w:tblLayout w:type="fixed"/>
        <w:tblCellMar>
          <w:top w:w="100" w:type="dxa"/>
          <w:start w:w="160" w:type="dxa"/>
          <w:bottom w:w="100" w:type="dxa"/>
          <w:end w:w="160" w:type="dxa"/>
        </w:tblCellMar>
      </w:tblPr>
      <w:tblGrid>
        <w:gridCol w:w="1199"/>
        <w:gridCol w:w="8161"/>
      </w:tblGrid>
      <w:tr>
        <w:trPr/>
        <w:tc>
          <w:tcPr>
            <w:tcW w:w="1199" w:type="dxa"/>
            <w:tcBorders>
              <w:top w:val="single" w:sz="2" w:space="0" w:color="C8D0DC"/>
              <w:start w:val="single" w:sz="2" w:space="0" w:color="C8D0DC"/>
              <w:bottom w:val="single" w:sz="2" w:space="0" w:color="C8D0DC"/>
              <w:end w:val="single" w:sz="2" w:space="0" w:color="C8D0DC"/>
            </w:tcBorders>
            <w:shd w:fill="F5F7FA" w:val="clear"/>
            <w:vAlign w:val="center"/>
          </w:tcPr>
          <w:p>
            <w:pPr>
              <w:pStyle w:val="Normal"/>
              <w:jc w:val="center"/>
              <w:rPr/>
            </w:pPr>
            <w:r>
              <w:rPr>
                <w:rFonts w:eastAsia="Arial" w:cs="Arial"/>
                <w:b/>
                <w:bCs/>
                <w:color w:val="7B1A1A"/>
                <w:sz w:val="18"/>
                <w:szCs w:val="18"/>
              </w:rPr>
              <w:t>OPEN QUESTION</w:t>
            </w:r>
          </w:p>
        </w:tc>
        <w:tc>
          <w:tcPr>
            <w:tcW w:w="8161" w:type="dxa"/>
            <w:tcBorders>
              <w:top w:val="single" w:sz="2" w:space="0" w:color="C8D0DC"/>
              <w:start w:val="single" w:sz="2" w:space="0" w:color="C8D0DC"/>
              <w:bottom w:val="single" w:sz="2" w:space="0" w:color="C8D0DC"/>
              <w:end w:val="single" w:sz="2" w:space="0" w:color="C8D0DC"/>
            </w:tcBorders>
            <w:shd w:fill="FFFFFF" w:val="clear"/>
            <w:tcMar>
              <w:start w:w="180" w:type="dxa"/>
              <w:end w:w="180" w:type="dxa"/>
            </w:tcMar>
          </w:tcPr>
          <w:p>
            <w:pPr>
              <w:pStyle w:val="Normal"/>
              <w:rPr/>
            </w:pPr>
            <w:r>
              <w:rPr>
                <w:rFonts w:eastAsia="Arial" w:cs="Arial"/>
                <w:i/>
                <w:iCs/>
                <w:color w:val="3A3A3A"/>
                <w:sz w:val="21"/>
                <w:szCs w:val="21"/>
              </w:rPr>
              <w:t>Unresolved. The ledger has not yet spoken on this.</w:t>
            </w:r>
          </w:p>
        </w:tc>
      </w:tr>
    </w:tbl>
    <w:p>
      <w:pPr>
        <w:pStyle w:val="Normal"/>
        <w:pBdr>
          <w:bottom w:val="single" w:sz="2" w:space="1" w:color="C8D0DC"/>
        </w:pBdr>
        <w:spacing w:before="200" w:after="200"/>
        <w:rPr/>
      </w:pPr>
      <w:r>
        <w:rPr/>
      </w:r>
    </w:p>
    <w:p>
      <w:pPr>
        <w:pStyle w:val="Heading2"/>
        <w:spacing w:before="280" w:after="120"/>
        <w:rPr/>
      </w:pPr>
      <w:r>
        <w:rPr>
          <w:rFonts w:eastAsia="Arial" w:cs="Arial" w:ascii="Arial" w:hAnsi="Arial"/>
          <w:b/>
          <w:bCs/>
          <w:color w:val="1F4E79"/>
          <w:sz w:val="24"/>
          <w:szCs w:val="24"/>
        </w:rPr>
        <w:t>Abstract</w:t>
      </w:r>
    </w:p>
    <w:p>
      <w:pPr>
        <w:pStyle w:val="Normal"/>
        <w:spacing w:before="60" w:after="120"/>
        <w:rPr/>
      </w:pPr>
      <w:r>
        <w:rPr>
          <w:rFonts w:eastAsia="Arial" w:cs="Arial"/>
          <w:color w:val="3A3A3A"/>
          <w:sz w:val="22"/>
          <w:szCs w:val="22"/>
        </w:rPr>
        <w:t>During the construction of a lawful mutual parity network for an extended HCP hydrogen scene, Atlas extraction produced a structural condition we call context-provider limbo: a state in which declared physical sources are load-bearing for the lawfulness of interior extraction targets, yet cannot themselves be certified as extraction targets without extending the scene further outward. The condition is not a pathology. It is a necessary feature of any finite scene declared inside an effectively infinite physical context.</w:t>
      </w:r>
    </w:p>
    <w:p>
      <w:pPr>
        <w:pStyle w:val="Normal"/>
        <w:spacing w:before="60" w:after="120"/>
        <w:rPr/>
      </w:pPr>
      <w:r>
        <w:rPr>
          <w:rFonts w:eastAsia="Arial" w:cs="Arial"/>
          <w:color w:val="3A3A3A"/>
          <w:sz w:val="22"/>
          <w:szCs w:val="22"/>
        </w:rPr>
        <w:t>This paper documents the limbo condition precisely, identifies a formal structural parallel with the quantum mechanical measurement problem, states explicitly where the parallel holds and where it breaks, and proposes a concrete geometric experiment — the full-field validation branch — that could distinguish passive from active context-provider effects. No QM connection is claimed. The parallel is documented as a structural observation requiring further investigation.</w:t>
      </w:r>
    </w:p>
    <w:p>
      <w:pPr>
        <w:pStyle w:val="Normal"/>
        <w:spacing w:before="60" w:after="120"/>
        <w:rPr/>
      </w:pPr>
      <w:r>
        <w:rPr>
          <w:rFonts w:eastAsia="Arial" w:cs="Arial"/>
          <w:b/>
          <w:bCs/>
          <w:color w:val="3A3A3A"/>
          <w:sz w:val="22"/>
          <w:szCs w:val="22"/>
        </w:rPr>
        <w:t xml:space="preserve">Core doctrine: </w:t>
      </w:r>
      <w:r>
        <w:rPr>
          <w:rFonts w:eastAsia="Arial" w:cs="Arial"/>
          <w:color w:val="3A3A3A"/>
          <w:sz w:val="22"/>
          <w:szCs w:val="22"/>
        </w:rPr>
        <w:t>Sources speak; datums listen; the ledger remembers.</w:t>
      </w:r>
    </w:p>
    <w:p>
      <w:pPr>
        <w:pStyle w:val="Normal"/>
        <w:pBdr>
          <w:bottom w:val="single" w:sz="2" w:space="1" w:color="C8D0DC"/>
        </w:pBdr>
        <w:spacing w:before="200" w:after="200"/>
        <w:rPr/>
      </w:pPr>
      <w:r>
        <w:rPr/>
      </w:r>
    </w:p>
    <w:p>
      <w:pPr>
        <w:pStyle w:val="Heading1"/>
        <w:spacing w:before="360" w:after="160"/>
        <w:rPr/>
      </w:pPr>
      <w:r>
        <w:rPr>
          <w:rFonts w:eastAsia="Arial" w:cs="Arial" w:ascii="Arial" w:hAnsi="Arial"/>
          <w:b/>
          <w:bCs/>
          <w:color w:val="1A2F4E"/>
          <w:sz w:val="30"/>
          <w:szCs w:val="30"/>
        </w:rPr>
        <w:t>1. The Atlas Result</w:t>
      </w:r>
    </w:p>
    <w:p>
      <w:pPr>
        <w:pStyle w:val="Heading2"/>
        <w:spacing w:before="280" w:after="120"/>
        <w:rPr/>
      </w:pPr>
      <w:r>
        <w:rPr>
          <w:rFonts w:eastAsia="Arial" w:cs="Arial" w:ascii="Arial" w:hAnsi="Arial"/>
          <w:b/>
          <w:bCs/>
          <w:color w:val="1F4E79"/>
          <w:sz w:val="24"/>
          <w:szCs w:val="24"/>
        </w:rPr>
        <w:t>1.1 Scene Declaration</w:t>
      </w:r>
    </w:p>
    <w:p>
      <w:pPr>
        <w:pStyle w:val="Normal"/>
        <w:spacing w:before="60" w:after="120"/>
        <w:rPr/>
      </w:pPr>
      <w:r>
        <w:rPr>
          <w:rFonts w:eastAsia="Arial" w:cs="Arial"/>
          <w:color w:val="3A3A3A"/>
          <w:sz w:val="22"/>
          <w:szCs w:val="22"/>
        </w:rPr>
        <w:t>The H HCP Extended scene declares 57 hydrogen sources arranged in an ideal HCP lattice to a cutoff radius of 2.1D, where D = 2.40 Å is the contact-packing nearest-neighbor distance (D = 2 × r_vdW, r_vdW = 1.20 Å for hydrogen). Of these 57 sources, 13 have complete 12-neighbor first-shell contexts within the declared scene: S0 at the origin and S1–S12 forming the first HCP coordination shell. The remaining 44 sources are context providers.</w:t>
      </w:r>
    </w:p>
    <w:p>
      <w:pPr>
        <w:pStyle w:val="Normal"/>
        <w:spacing w:before="60" w:after="120"/>
        <w:rPr/>
      </w:pPr>
      <w:r>
        <w:rPr>
          <w:rFonts w:eastAsia="Arial" w:cs="Arial"/>
          <w:color w:val="3A3A3A"/>
          <w:sz w:val="22"/>
          <w:szCs w:val="22"/>
        </w:rPr>
        <w:t>Node assignments follow Atlas Architecture Canon v0.3:</w:t>
      </w:r>
    </w:p>
    <w:p>
      <w:pPr>
        <w:pStyle w:val="ListParagraph"/>
        <w:numPr>
          <w:ilvl w:val="0"/>
          <w:numId w:val="3"/>
        </w:numPr>
        <w:spacing w:before="40" w:after="80"/>
        <w:rPr/>
      </w:pPr>
      <w:r>
        <w:rPr>
          <w:rFonts w:eastAsia="Arial" w:cs="Arial"/>
          <w:color w:val="3A3A3A"/>
          <w:sz w:val="22"/>
          <w:szCs w:val="22"/>
        </w:rPr>
        <w:t>Node 0: geometric registration datum at origin</w:t>
      </w:r>
    </w:p>
    <w:p>
      <w:pPr>
        <w:pStyle w:val="ListParagraph"/>
        <w:numPr>
          <w:ilvl w:val="0"/>
          <w:numId w:val="1"/>
        </w:numPr>
        <w:spacing w:before="40" w:after="80"/>
        <w:rPr/>
      </w:pPr>
      <w:r>
        <w:rPr>
          <w:rFonts w:eastAsia="Arial" w:cs="Arial"/>
          <w:color w:val="3A3A3A"/>
          <w:sz w:val="22"/>
          <w:szCs w:val="22"/>
        </w:rPr>
        <w:t>Node 1: HCP first-shell parent context declaration</w:t>
      </w:r>
    </w:p>
    <w:p>
      <w:pPr>
        <w:pStyle w:val="ListParagraph"/>
        <w:numPr>
          <w:ilvl w:val="0"/>
          <w:numId w:val="1"/>
        </w:numPr>
        <w:spacing w:before="40" w:after="80"/>
        <w:rPr/>
      </w:pPr>
      <w:r>
        <w:rPr>
          <w:rFonts w:eastAsia="Arial" w:cs="Arial"/>
          <w:color w:val="3A3A3A"/>
          <w:sz w:val="22"/>
          <w:szCs w:val="22"/>
        </w:rPr>
        <w:t>Node 2+: all 57 physical sources</w:t>
      </w:r>
    </w:p>
    <w:p>
      <w:pPr>
        <w:pStyle w:val="ListParagraph"/>
        <w:numPr>
          <w:ilvl w:val="0"/>
          <w:numId w:val="1"/>
        </w:numPr>
        <w:spacing w:before="40" w:after="80"/>
        <w:rPr/>
      </w:pPr>
      <w:r>
        <w:rPr>
          <w:rFonts w:eastAsia="Arial" w:cs="Arial"/>
          <w:color w:val="3A3A3A"/>
          <w:sz w:val="22"/>
          <w:szCs w:val="22"/>
        </w:rPr>
        <w:t>Node -1: certified relational ledger</w:t>
      </w:r>
    </w:p>
    <w:p>
      <w:pPr>
        <w:pStyle w:val="ListParagraph"/>
        <w:numPr>
          <w:ilvl w:val="0"/>
          <w:numId w:val="1"/>
        </w:numPr>
        <w:spacing w:before="40" w:after="80"/>
        <w:rPr/>
      </w:pPr>
      <w:r>
        <w:rPr>
          <w:rFonts w:eastAsia="Arial" w:cs="Arial"/>
          <w:color w:val="3A3A3A"/>
          <w:sz w:val="22"/>
          <w:szCs w:val="22"/>
        </w:rPr>
        <w:t>Node Psi: GCS/parity-context extraction (pending surface reconstruction)</w:t>
      </w:r>
    </w:p>
    <w:p>
      <w:pPr>
        <w:pStyle w:val="Heading2"/>
        <w:spacing w:before="280" w:after="120"/>
        <w:rPr/>
      </w:pPr>
      <w:r>
        <w:rPr>
          <w:rFonts w:eastAsia="Arial" w:cs="Arial" w:ascii="Arial" w:hAnsi="Arial"/>
          <w:b/>
          <w:bCs/>
          <w:color w:val="1F4E79"/>
          <w:sz w:val="24"/>
          <w:szCs w:val="24"/>
        </w:rPr>
        <w:t>1.2 Readable Field and Residuals</w:t>
      </w:r>
    </w:p>
    <w:p>
      <w:pPr>
        <w:pStyle w:val="Normal"/>
        <w:spacing w:before="60" w:after="120"/>
        <w:rPr/>
      </w:pPr>
      <w:r>
        <w:rPr>
          <w:rFonts w:eastAsia="Arial" w:cs="Arial"/>
          <w:color w:val="3A3A3A"/>
          <w:sz w:val="22"/>
          <w:szCs w:val="22"/>
        </w:rPr>
        <w:t>The Phase I readable diagnostic scalar:</w:t>
      </w:r>
    </w:p>
    <w:p>
      <w:pPr>
        <w:pStyle w:val="Normal"/>
        <w:spacing w:before="120" w:after="120"/>
        <w:jc w:val="center"/>
        <w:rPr/>
      </w:pPr>
      <w:r>
        <w:rPr>
          <w:rFonts w:eastAsia="Courier New" w:cs="Courier New" w:ascii="Courier New" w:hAnsi="Courier New"/>
          <w:b/>
          <w:bCs/>
          <w:color w:val="1A2F4E"/>
          <w:sz w:val="22"/>
          <w:szCs w:val="22"/>
        </w:rPr>
        <w:t>Q_i(x) = M_i / (||x - x_i||² + ε²)^(3/2)</w:t>
      </w:r>
    </w:p>
    <w:p>
      <w:pPr>
        <w:pStyle w:val="Normal"/>
        <w:spacing w:before="60" w:after="120"/>
        <w:rPr/>
      </w:pPr>
      <w:r>
        <w:rPr>
          <w:rFonts w:eastAsia="Arial" w:cs="Arial"/>
          <w:color w:val="3A3A3A"/>
          <w:sz w:val="22"/>
          <w:szCs w:val="22"/>
        </w:rPr>
        <w:t>Two residual branches evaluated per interior extraction target, declared as the nearest-neighbor (NN) parent-context branch:</w:t>
      </w:r>
    </w:p>
    <w:p>
      <w:pPr>
        <w:pStyle w:val="Normal"/>
        <w:spacing w:before="120" w:after="120"/>
        <w:jc w:val="center"/>
        <w:rPr/>
      </w:pPr>
      <w:r>
        <w:rPr>
          <w:rFonts w:eastAsia="Courier New" w:cs="Courier New" w:ascii="Courier New" w:hAnsi="Courier New"/>
          <w:b/>
          <w:bCs/>
          <w:color w:val="1A2F4E"/>
          <w:sz w:val="22"/>
          <w:szCs w:val="22"/>
        </w:rPr>
        <w:t>Ψ_max_NN(x) = Q_i(x) − max_j Q_j(x),   j ∈ neighbors(i)</w:t>
      </w:r>
    </w:p>
    <w:p>
      <w:pPr>
        <w:pStyle w:val="Normal"/>
        <w:spacing w:before="120" w:after="120"/>
        <w:jc w:val="center"/>
        <w:rPr/>
      </w:pPr>
      <w:r>
        <w:rPr>
          <w:rFonts w:eastAsia="Courier New" w:cs="Courier New" w:ascii="Courier New" w:hAnsi="Courier New"/>
          <w:b/>
          <w:bCs/>
          <w:color w:val="1A2F4E"/>
          <w:sz w:val="22"/>
          <w:szCs w:val="22"/>
        </w:rPr>
        <w:t>Ψ_sum_NN(x) = Q_i(x) − sum_j Q_j(x),   j ∈ neighbors(i)</w:t>
      </w:r>
    </w:p>
    <w:p>
      <w:pPr>
        <w:pStyle w:val="Normal"/>
        <w:spacing w:before="60" w:after="120"/>
        <w:rPr/>
      </w:pPr>
      <w:r>
        <w:rPr>
          <w:rFonts w:eastAsia="Arial" w:cs="Arial"/>
          <w:color w:val="3A3A3A"/>
          <w:sz w:val="22"/>
          <w:szCs w:val="22"/>
        </w:rPr>
        <w:t>Each interior extraction target uses a source-associated interrogation datum — a declared ray-launch anchor placed at the source center. The source generates Q. The datum interrogates. These roles are kept strictly separate per Canon v0.3 §7.</w:t>
      </w:r>
    </w:p>
    <w:p>
      <w:pPr>
        <w:pStyle w:val="Heading2"/>
        <w:spacing w:before="280" w:after="120"/>
        <w:rPr/>
      </w:pPr>
      <w:r>
        <w:rPr>
          <w:rFonts w:eastAsia="Arial" w:cs="Arial" w:ascii="Arial" w:hAnsi="Arial"/>
          <w:b/>
          <w:bCs/>
          <w:color w:val="1F4E79"/>
          <w:sz w:val="24"/>
          <w:szCs w:val="24"/>
        </w:rPr>
        <w:t>1.3 Extraction Results</w:t>
      </w:r>
    </w:p>
    <w:p>
      <w:pPr>
        <w:pStyle w:val="Normal"/>
        <w:spacing w:before="40" w:after="40"/>
        <w:rPr/>
      </w:pPr>
      <w:r>
        <w:rPr/>
      </w:r>
    </w:p>
    <w:tbl>
      <w:tblPr>
        <w:tblW w:w="9360" w:type="dxa"/>
        <w:jc w:val="start"/>
        <w:tblInd w:w="0" w:type="dxa"/>
        <w:tblLayout w:type="fixed"/>
        <w:tblCellMar>
          <w:top w:w="100" w:type="dxa"/>
          <w:start w:w="160" w:type="dxa"/>
          <w:bottom w:w="100" w:type="dxa"/>
          <w:end w:w="160" w:type="dxa"/>
        </w:tblCellMar>
      </w:tblPr>
      <w:tblGrid>
        <w:gridCol w:w="1199"/>
        <w:gridCol w:w="8161"/>
      </w:tblGrid>
      <w:tr>
        <w:trPr/>
        <w:tc>
          <w:tcPr>
            <w:tcW w:w="1199" w:type="dxa"/>
            <w:tcBorders>
              <w:top w:val="single" w:sz="2" w:space="0" w:color="C8D0DC"/>
              <w:start w:val="single" w:sz="2" w:space="0" w:color="C8D0DC"/>
              <w:bottom w:val="single" w:sz="2" w:space="0" w:color="C8D0DC"/>
              <w:end w:val="single" w:sz="2" w:space="0" w:color="C8D0DC"/>
            </w:tcBorders>
            <w:shd w:fill="F5F7FA" w:val="clear"/>
            <w:vAlign w:val="center"/>
          </w:tcPr>
          <w:p>
            <w:pPr>
              <w:pStyle w:val="Normal"/>
              <w:jc w:val="center"/>
              <w:rPr/>
            </w:pPr>
            <w:r>
              <w:rPr>
                <w:rFonts w:eastAsia="Arial" w:cs="Arial"/>
                <w:b/>
                <w:bCs/>
                <w:color w:val="1A4A1A"/>
                <w:sz w:val="18"/>
                <w:szCs w:val="18"/>
              </w:rPr>
              <w:t>ESTABLISHED</w:t>
            </w:r>
          </w:p>
        </w:tc>
        <w:tc>
          <w:tcPr>
            <w:tcW w:w="8161" w:type="dxa"/>
            <w:tcBorders>
              <w:top w:val="single" w:sz="2" w:space="0" w:color="C8D0DC"/>
              <w:start w:val="single" w:sz="2" w:space="0" w:color="C8D0DC"/>
              <w:bottom w:val="single" w:sz="2" w:space="0" w:color="C8D0DC"/>
              <w:end w:val="single" w:sz="2" w:space="0" w:color="C8D0DC"/>
            </w:tcBorders>
            <w:shd w:fill="FFFFFF" w:val="clear"/>
            <w:tcMar>
              <w:start w:w="180" w:type="dxa"/>
              <w:end w:w="180" w:type="dxa"/>
            </w:tcMar>
          </w:tcPr>
          <w:p>
            <w:pPr>
              <w:pStyle w:val="Normal"/>
              <w:rPr/>
            </w:pPr>
            <w:r>
              <w:rPr>
                <w:rFonts w:eastAsia="Arial" w:cs="Arial"/>
                <w:i/>
                <w:iCs/>
                <w:color w:val="3A3A3A"/>
                <w:sz w:val="21"/>
                <w:szCs w:val="21"/>
              </w:rPr>
              <w:t>All 13 interior extraction targets returned closed ray fraction = 1.0000 (512/512 rays) for both Ψ_max and Ψ_sum residuals. Radius diagnostics, fully split by residual type: Ψ_max r_min = 1.200 Å (= D/2, the equal-mass Voronoi bisector). Ψ_sum r_min = 0.977 Å (= 0.407D, confirmed analytically). This is the first lawful mutual parity network extracted in the Claude wing.</w:t>
            </w:r>
          </w:p>
        </w:tc>
      </w:tr>
    </w:tbl>
    <w:p>
      <w:pPr>
        <w:pStyle w:val="Normal"/>
        <w:spacing w:before="40" w:after="40"/>
        <w:rPr/>
      </w:pPr>
      <w:r>
        <w:rPr/>
      </w:r>
    </w:p>
    <w:p>
      <w:pPr>
        <w:pStyle w:val="Normal"/>
        <w:spacing w:before="60" w:after="120"/>
        <w:rPr/>
      </w:pPr>
      <w:r>
        <w:rPr>
          <w:rFonts w:eastAsia="Arial" w:cs="Arial"/>
          <w:color w:val="3A3A3A"/>
          <w:sz w:val="22"/>
          <w:szCs w:val="22"/>
        </w:rPr>
        <w:t>The split diagnostics confirmed a prior reporting error — the original run merged Ψ_max and Ψ_sum radius columns — and verified that the field computation was correct throughout. The gremlin was in the table, not the physics.</w:t>
      </w:r>
    </w:p>
    <w:p>
      <w:pPr>
        <w:pStyle w:val="Normal"/>
        <w:pBdr>
          <w:bottom w:val="single" w:sz="2" w:space="1" w:color="C8D0DC"/>
        </w:pBdr>
        <w:spacing w:before="200" w:after="200"/>
        <w:rPr/>
      </w:pPr>
      <w:r>
        <w:rPr/>
      </w:r>
    </w:p>
    <w:p>
      <w:pPr>
        <w:pStyle w:val="Heading1"/>
        <w:spacing w:before="360" w:after="160"/>
        <w:rPr/>
      </w:pPr>
      <w:r>
        <w:rPr>
          <w:rFonts w:eastAsia="Arial" w:cs="Arial" w:ascii="Arial" w:hAnsi="Arial"/>
          <w:b/>
          <w:bCs/>
          <w:color w:val="1A2F4E"/>
          <w:sz w:val="30"/>
          <w:szCs w:val="30"/>
        </w:rPr>
        <w:t>2. The Context-Provider Limbo Condition</w:t>
      </w:r>
    </w:p>
    <w:p>
      <w:pPr>
        <w:pStyle w:val="Heading2"/>
        <w:spacing w:before="280" w:after="120"/>
        <w:rPr/>
      </w:pPr>
      <w:r>
        <w:rPr>
          <w:rFonts w:eastAsia="Arial" w:cs="Arial" w:ascii="Arial" w:hAnsi="Arial"/>
          <w:b/>
          <w:bCs/>
          <w:color w:val="1F4E79"/>
          <w:sz w:val="24"/>
          <w:szCs w:val="24"/>
        </w:rPr>
        <w:t>2.1 Definition</w:t>
      </w:r>
    </w:p>
    <w:p>
      <w:pPr>
        <w:pStyle w:val="Normal"/>
        <w:spacing w:before="60" w:after="120"/>
        <w:rPr/>
      </w:pPr>
      <w:r>
        <w:rPr>
          <w:rFonts w:eastAsia="Arial" w:cs="Arial"/>
          <w:color w:val="3A3A3A"/>
          <w:sz w:val="22"/>
          <w:szCs w:val="22"/>
        </w:rPr>
        <w:t>A source S is in context-provider limbo with respect to a declared scene if:</w:t>
      </w:r>
    </w:p>
    <w:p>
      <w:pPr>
        <w:pStyle w:val="ListParagraph"/>
        <w:numPr>
          <w:ilvl w:val="0"/>
          <w:numId w:val="1"/>
        </w:numPr>
        <w:spacing w:before="40" w:after="80"/>
        <w:rPr/>
      </w:pPr>
      <w:r>
        <w:rPr>
          <w:rFonts w:eastAsia="Arial" w:cs="Arial"/>
          <w:color w:val="3A3A3A"/>
          <w:sz w:val="22"/>
          <w:szCs w:val="22"/>
        </w:rPr>
        <w:t>S is a declared physical source generating Q_S in the full scene field,</w:t>
      </w:r>
    </w:p>
    <w:p>
      <w:pPr>
        <w:pStyle w:val="ListParagraph"/>
        <w:numPr>
          <w:ilvl w:val="0"/>
          <w:numId w:val="1"/>
        </w:numPr>
        <w:spacing w:before="40" w:after="80"/>
        <w:rPr/>
      </w:pPr>
      <w:r>
        <w:rPr>
          <w:rFonts w:eastAsia="Arial" w:cs="Arial"/>
          <w:color w:val="3A3A3A"/>
          <w:sz w:val="22"/>
          <w:szCs w:val="22"/>
        </w:rPr>
        <w:t>S contributes materially to the readable context of at least one interior extraction target,</w:t>
      </w:r>
    </w:p>
    <w:p>
      <w:pPr>
        <w:pStyle w:val="ListParagraph"/>
        <w:numPr>
          <w:ilvl w:val="0"/>
          <w:numId w:val="1"/>
        </w:numPr>
        <w:spacing w:before="40" w:after="80"/>
        <w:rPr/>
      </w:pPr>
      <w:r>
        <w:rPr>
          <w:rFonts w:eastAsia="Arial" w:cs="Arial"/>
          <w:color w:val="3A3A3A"/>
          <w:sz w:val="22"/>
          <w:szCs w:val="22"/>
        </w:rPr>
        <w:t>S does not itself have a complete first-neighbor coordination within the declared scene,</w:t>
      </w:r>
    </w:p>
    <w:p>
      <w:pPr>
        <w:pStyle w:val="ListParagraph"/>
        <w:numPr>
          <w:ilvl w:val="0"/>
          <w:numId w:val="1"/>
        </w:numPr>
        <w:spacing w:before="40" w:after="80"/>
        <w:rPr/>
      </w:pPr>
      <w:r>
        <w:rPr>
          <w:rFonts w:eastAsia="Arial" w:cs="Arial"/>
          <w:color w:val="3A3A3A"/>
          <w:sz w:val="22"/>
          <w:szCs w:val="22"/>
        </w:rPr>
        <w:t>S therefore cannot be certified as a lawful extraction target in this scene,</w:t>
      </w:r>
    </w:p>
    <w:p>
      <w:pPr>
        <w:pStyle w:val="ListParagraph"/>
        <w:numPr>
          <w:ilvl w:val="0"/>
          <w:numId w:val="1"/>
        </w:numPr>
        <w:spacing w:before="40" w:after="80"/>
        <w:rPr/>
      </w:pPr>
      <w:r>
        <w:rPr>
          <w:rFonts w:eastAsia="Arial" w:cs="Arial"/>
          <w:color w:val="3A3A3A"/>
          <w:sz w:val="22"/>
          <w:szCs w:val="22"/>
        </w:rPr>
        <w:t>S cannot be removed without degrading the lawfulness of the interior targets it supports.</w:t>
      </w:r>
    </w:p>
    <w:p>
      <w:pPr>
        <w:pStyle w:val="Normal"/>
        <w:spacing w:before="40" w:after="40"/>
        <w:rPr/>
      </w:pPr>
      <w:r>
        <w:rPr/>
      </w:r>
    </w:p>
    <w:p>
      <w:pPr>
        <w:pStyle w:val="Normal"/>
        <w:spacing w:before="60" w:after="120"/>
        <w:rPr/>
      </w:pPr>
      <w:r>
        <w:rPr>
          <w:rFonts w:eastAsia="Arial" w:cs="Arial"/>
          <w:color w:val="3A3A3A"/>
          <w:sz w:val="22"/>
          <w:szCs w:val="22"/>
        </w:rPr>
        <w:t>In the H HCP Extended scene: all 44 context-only sources satisfy this definition. They are simultaneously required and unresolvable within the declared boundary.</w:t>
      </w:r>
    </w:p>
    <w:p>
      <w:pPr>
        <w:pStyle w:val="Heading2"/>
        <w:spacing w:before="280" w:after="120"/>
        <w:rPr/>
      </w:pPr>
      <w:r>
        <w:rPr>
          <w:rFonts w:eastAsia="Arial" w:cs="Arial" w:ascii="Arial" w:hAnsi="Arial"/>
          <w:b/>
          <w:bCs/>
          <w:color w:val="1F4E79"/>
          <w:sz w:val="24"/>
          <w:szCs w:val="24"/>
        </w:rPr>
        <w:t>2.2 The Recursive Structure</w:t>
      </w:r>
    </w:p>
    <w:p>
      <w:pPr>
        <w:pStyle w:val="Normal"/>
        <w:spacing w:before="60" w:after="120"/>
        <w:rPr/>
      </w:pPr>
      <w:r>
        <w:rPr>
          <w:rFonts w:eastAsia="Arial" w:cs="Arial"/>
          <w:color w:val="3A3A3A"/>
          <w:sz w:val="22"/>
          <w:szCs w:val="22"/>
        </w:rPr>
        <w:t>The limbo condition is not accidental. It is the necessary consequence of attempting to certify any interior datum in a finite scene embedded in an effectively infinite physical context. The certification chain is:</w:t>
      </w:r>
    </w:p>
    <w:p>
      <w:pPr>
        <w:pStyle w:val="Normal"/>
        <w:spacing w:before="40" w:after="40"/>
        <w:ind w:start="720"/>
        <w:rPr/>
      </w:pPr>
      <w:r>
        <w:rPr>
          <w:rFonts w:eastAsia="Courier New" w:cs="Courier New" w:ascii="Courier New" w:hAnsi="Courier New"/>
          <w:color w:val="1A2F4E"/>
          <w:sz w:val="20"/>
          <w:szCs w:val="20"/>
        </w:rPr>
        <w:t>S0 certified   ← requires S1-S12 as complete context</w:t>
      </w:r>
    </w:p>
    <w:p>
      <w:pPr>
        <w:pStyle w:val="Normal"/>
        <w:spacing w:before="40" w:after="40"/>
        <w:ind w:start="720"/>
        <w:rPr/>
      </w:pPr>
      <w:r>
        <w:rPr>
          <w:rFonts w:eastAsia="Courier New" w:cs="Courier New" w:ascii="Courier New" w:hAnsi="Courier New"/>
          <w:color w:val="1A2F4E"/>
          <w:sz w:val="20"/>
          <w:szCs w:val="20"/>
        </w:rPr>
        <w:t>S1 certified   ← requires S0 + 11 outer atoms as complete context</w:t>
      </w:r>
    </w:p>
    <w:p>
      <w:pPr>
        <w:pStyle w:val="Normal"/>
        <w:spacing w:before="40" w:after="40"/>
        <w:ind w:start="720"/>
        <w:rPr/>
      </w:pPr>
      <w:r>
        <w:rPr>
          <w:rFonts w:eastAsia="Courier New" w:cs="Courier New" w:ascii="Courier New" w:hAnsi="Courier New"/>
          <w:color w:val="1A2F4E"/>
          <w:sz w:val="20"/>
          <w:szCs w:val="20"/>
        </w:rPr>
        <w:t xml:space="preserve">outer atoms    ← require further outer atoms... </w:t>
      </w:r>
    </w:p>
    <w:p>
      <w:pPr>
        <w:pStyle w:val="Normal"/>
        <w:spacing w:before="40" w:after="40"/>
        <w:ind w:start="720"/>
        <w:rPr/>
      </w:pPr>
      <w:r>
        <w:rPr>
          <w:rFonts w:eastAsia="Courier New" w:cs="Courier New" w:ascii="Courier New" w:hAnsi="Courier New"/>
          <w:color w:val="1A2F4E"/>
          <w:sz w:val="20"/>
          <w:szCs w:val="20"/>
        </w:rPr>
        <w:t xml:space="preserve">               ← </w:t>
      </w:r>
      <w:r>
        <w:rPr>
          <w:rFonts w:eastAsia="Courier New" w:cs="Courier New" w:ascii="Courier New" w:hAnsi="Courier New"/>
          <w:color w:val="1A2F4E"/>
          <w:sz w:val="20"/>
          <w:szCs w:val="20"/>
        </w:rPr>
        <w:t>chain terminates only at a declared boundary</w:t>
      </w:r>
    </w:p>
    <w:p>
      <w:pPr>
        <w:pStyle w:val="Normal"/>
        <w:spacing w:before="60" w:after="60"/>
        <w:rPr/>
      </w:pPr>
      <w:r>
        <w:rPr/>
      </w:r>
    </w:p>
    <w:p>
      <w:pPr>
        <w:pStyle w:val="Normal"/>
        <w:spacing w:before="60" w:after="120"/>
        <w:rPr/>
      </w:pPr>
      <w:r>
        <w:rPr>
          <w:rFonts w:eastAsia="Arial" w:cs="Arial"/>
          <w:color w:val="3A3A3A"/>
          <w:sz w:val="22"/>
          <w:szCs w:val="22"/>
        </w:rPr>
        <w:t>The boundary declaration is not a flaw. It is a necessary act of scene lawfulness. But it always leaves a layer of sources in limbo — load-bearing without being certified, contributing without being resolved.</w:t>
      </w:r>
    </w:p>
    <w:p>
      <w:pPr>
        <w:pStyle w:val="Heading2"/>
        <w:spacing w:before="280" w:after="120"/>
        <w:rPr/>
      </w:pPr>
      <w:r>
        <w:rPr>
          <w:rFonts w:eastAsia="Arial" w:cs="Arial" w:ascii="Arial" w:hAnsi="Arial"/>
          <w:b/>
          <w:bCs/>
          <w:color w:val="1F4E79"/>
          <w:sz w:val="24"/>
          <w:szCs w:val="24"/>
        </w:rPr>
        <w:t>2.3 Load-Bearing Without Certification</w:t>
      </w:r>
    </w:p>
    <w:p>
      <w:pPr>
        <w:pStyle w:val="Normal"/>
        <w:spacing w:before="60" w:after="120"/>
        <w:rPr/>
      </w:pPr>
      <w:r>
        <w:rPr>
          <w:rFonts w:eastAsia="Arial" w:cs="Arial"/>
          <w:color w:val="3A3A3A"/>
          <w:sz w:val="22"/>
          <w:szCs w:val="22"/>
        </w:rPr>
        <w:t>The 44 context providers are not passive. They generate Q fields that shape the parity surfaces of S1–S12. If even one context provider were removed, the neighbor context of at least one interior extraction target would become incomplete, and that target's closure claim would become unlawful.</w:t>
      </w:r>
    </w:p>
    <w:p>
      <w:pPr>
        <w:pStyle w:val="Normal"/>
        <w:spacing w:before="40" w:after="40"/>
        <w:rPr/>
      </w:pPr>
      <w:r>
        <w:rPr/>
      </w:r>
    </w:p>
    <w:tbl>
      <w:tblPr>
        <w:tblW w:w="9360" w:type="dxa"/>
        <w:jc w:val="start"/>
        <w:tblInd w:w="0" w:type="dxa"/>
        <w:tblLayout w:type="fixed"/>
        <w:tblCellMar>
          <w:top w:w="100" w:type="dxa"/>
          <w:start w:w="160" w:type="dxa"/>
          <w:bottom w:w="100" w:type="dxa"/>
          <w:end w:w="160" w:type="dxa"/>
        </w:tblCellMar>
      </w:tblPr>
      <w:tblGrid>
        <w:gridCol w:w="1199"/>
        <w:gridCol w:w="8161"/>
      </w:tblGrid>
      <w:tr>
        <w:trPr/>
        <w:tc>
          <w:tcPr>
            <w:tcW w:w="1199" w:type="dxa"/>
            <w:tcBorders>
              <w:top w:val="single" w:sz="2" w:space="0" w:color="C8D0DC"/>
              <w:start w:val="single" w:sz="2" w:space="0" w:color="C8D0DC"/>
              <w:bottom w:val="single" w:sz="2" w:space="0" w:color="C8D0DC"/>
              <w:end w:val="single" w:sz="2" w:space="0" w:color="C8D0DC"/>
            </w:tcBorders>
            <w:shd w:fill="F5F7FA" w:val="clear"/>
            <w:vAlign w:val="center"/>
          </w:tcPr>
          <w:p>
            <w:pPr>
              <w:pStyle w:val="Normal"/>
              <w:jc w:val="center"/>
              <w:rPr/>
            </w:pPr>
            <w:r>
              <w:rPr>
                <w:rFonts w:eastAsia="Arial" w:cs="Arial"/>
                <w:b/>
                <w:bCs/>
                <w:color w:val="1F4E79"/>
                <w:sz w:val="18"/>
                <w:szCs w:val="18"/>
              </w:rPr>
              <w:t>STRUCTURAL OBSERVATION</w:t>
            </w:r>
          </w:p>
        </w:tc>
        <w:tc>
          <w:tcPr>
            <w:tcW w:w="8161" w:type="dxa"/>
            <w:tcBorders>
              <w:top w:val="single" w:sz="2" w:space="0" w:color="C8D0DC"/>
              <w:start w:val="single" w:sz="2" w:space="0" w:color="C8D0DC"/>
              <w:bottom w:val="single" w:sz="2" w:space="0" w:color="C8D0DC"/>
              <w:end w:val="single" w:sz="2" w:space="0" w:color="C8D0DC"/>
            </w:tcBorders>
            <w:shd w:fill="FFFFFF" w:val="clear"/>
            <w:tcMar>
              <w:start w:w="180" w:type="dxa"/>
              <w:end w:w="180" w:type="dxa"/>
            </w:tcMar>
          </w:tcPr>
          <w:p>
            <w:pPr>
              <w:pStyle w:val="Normal"/>
              <w:rPr/>
            </w:pPr>
            <w:r>
              <w:rPr>
                <w:rFonts w:eastAsia="Arial" w:cs="Arial"/>
                <w:i/>
                <w:iCs/>
                <w:color w:val="3A3A3A"/>
                <w:sz w:val="21"/>
                <w:szCs w:val="21"/>
              </w:rPr>
              <w:t>The context providers are load-bearing without being certified. Their relational state is required to be unresolved — by the finite scene declaration — in order for the interior geometry to be lawful. Resolving them (extending the scene) shifts the limbo boundary outward but does not eliminate it.</w:t>
            </w:r>
          </w:p>
        </w:tc>
      </w:tr>
    </w:tbl>
    <w:p>
      <w:pPr>
        <w:pStyle w:val="Normal"/>
        <w:pBdr>
          <w:bottom w:val="single" w:sz="2" w:space="1" w:color="C8D0DC"/>
        </w:pBdr>
        <w:spacing w:before="200" w:after="200"/>
        <w:rPr/>
      </w:pPr>
      <w:r>
        <w:rPr/>
      </w:r>
    </w:p>
    <w:p>
      <w:pPr>
        <w:pStyle w:val="Heading1"/>
        <w:spacing w:before="360" w:after="160"/>
        <w:rPr/>
      </w:pPr>
      <w:r>
        <w:rPr>
          <w:rFonts w:eastAsia="Arial" w:cs="Arial" w:ascii="Arial" w:hAnsi="Arial"/>
          <w:b/>
          <w:bCs/>
          <w:color w:val="1A2F4E"/>
          <w:sz w:val="30"/>
          <w:szCs w:val="30"/>
        </w:rPr>
        <w:t>3. Structural Parallel with the Quantum Measurement Problem</w:t>
      </w:r>
    </w:p>
    <w:p>
      <w:pPr>
        <w:pStyle w:val="Heading2"/>
        <w:spacing w:before="280" w:after="120"/>
        <w:rPr/>
      </w:pPr>
      <w:r>
        <w:rPr>
          <w:rFonts w:eastAsia="Arial" w:cs="Arial" w:ascii="Arial" w:hAnsi="Arial"/>
          <w:b/>
          <w:bCs/>
          <w:color w:val="1F4E79"/>
          <w:sz w:val="24"/>
          <w:szCs w:val="24"/>
        </w:rPr>
        <w:t>3.1 The Measurement Problem — Brief Statement</w:t>
      </w:r>
    </w:p>
    <w:p>
      <w:pPr>
        <w:pStyle w:val="Normal"/>
        <w:spacing w:before="60" w:after="120"/>
        <w:rPr/>
      </w:pPr>
      <w:r>
        <w:rPr>
          <w:rFonts w:eastAsia="Arial" w:cs="Arial"/>
          <w:color w:val="3A3A3A"/>
          <w:sz w:val="22"/>
          <w:szCs w:val="22"/>
        </w:rPr>
        <w:t>The quantum mechanical measurement problem, in its most general form, is this: a quantum system S can only be assigned a definite observable state relative to a declared measurement context M. But M is itself a physical system that requires its own context M' to be fully specified. The chain does not terminate from within physics — it terminates only at a declared classical boundary (Copenhagen), or it never terminates (Many-Worlds), or the environment provides an effective but not fundamental boundary (decoherence).</w:t>
      </w:r>
    </w:p>
    <w:p>
      <w:pPr>
        <w:pStyle w:val="Normal"/>
        <w:spacing w:before="60" w:after="120"/>
        <w:rPr/>
      </w:pPr>
      <w:r>
        <w:rPr>
          <w:rFonts w:eastAsia="Arial" w:cs="Arial"/>
          <w:color w:val="3A3A3A"/>
          <w:sz w:val="22"/>
          <w:szCs w:val="22"/>
        </w:rPr>
        <w:t>The structural core: you cannot certify the state of a system without a declared observer context, and that context is itself a system that requires certification.</w:t>
      </w:r>
    </w:p>
    <w:p>
      <w:pPr>
        <w:pStyle w:val="Heading2"/>
        <w:spacing w:before="280" w:after="120"/>
        <w:rPr/>
      </w:pPr>
      <w:r>
        <w:rPr>
          <w:rFonts w:eastAsia="Arial" w:cs="Arial" w:ascii="Arial" w:hAnsi="Arial"/>
          <w:b/>
          <w:bCs/>
          <w:color w:val="1F4E79"/>
          <w:sz w:val="24"/>
          <w:szCs w:val="24"/>
        </w:rPr>
        <w:t>3.2 The Atlas Parallel</w:t>
      </w:r>
    </w:p>
    <w:p>
      <w:pPr>
        <w:pStyle w:val="Normal"/>
        <w:spacing w:before="60" w:after="120"/>
        <w:rPr/>
      </w:pPr>
      <w:r>
        <w:rPr>
          <w:rFonts w:eastAsia="Arial" w:cs="Arial"/>
          <w:color w:val="3A3A3A"/>
          <w:sz w:val="22"/>
          <w:szCs w:val="22"/>
        </w:rPr>
        <w:t>The Atlas context-provider limbo condition exhibits the same logical structure:</w:t>
      </w:r>
    </w:p>
    <w:p>
      <w:pPr>
        <w:pStyle w:val="ListParagraph"/>
        <w:numPr>
          <w:ilvl w:val="0"/>
          <w:numId w:val="1"/>
        </w:numPr>
        <w:spacing w:before="40" w:after="80"/>
        <w:rPr/>
      </w:pPr>
      <w:r>
        <w:rPr>
          <w:rFonts w:eastAsia="Arial" w:cs="Arial"/>
          <w:b/>
          <w:bCs/>
          <w:color w:val="3A3A3A"/>
          <w:sz w:val="22"/>
          <w:szCs w:val="22"/>
        </w:rPr>
        <w:t>QM:</w:t>
      </w:r>
      <w:r>
        <w:rPr>
          <w:rFonts w:eastAsia="Arial" w:cs="Arial"/>
          <w:color w:val="3A3A3A"/>
          <w:sz w:val="22"/>
          <w:szCs w:val="22"/>
        </w:rPr>
        <w:t xml:space="preserve">  cannot certify system state without declared measurement context</w:t>
      </w:r>
    </w:p>
    <w:p>
      <w:pPr>
        <w:pStyle w:val="ListParagraph"/>
        <w:numPr>
          <w:ilvl w:val="0"/>
          <w:numId w:val="1"/>
        </w:numPr>
        <w:spacing w:before="40" w:after="80"/>
        <w:rPr/>
      </w:pPr>
      <w:r>
        <w:rPr>
          <w:rFonts w:eastAsia="Arial" w:cs="Arial"/>
          <w:b/>
          <w:bCs/>
          <w:color w:val="3A3A3A"/>
          <w:sz w:val="22"/>
          <w:szCs w:val="22"/>
        </w:rPr>
        <w:t>Atlas:</w:t>
      </w:r>
      <w:r>
        <w:rPr>
          <w:rFonts w:eastAsia="Arial" w:cs="Arial"/>
          <w:color w:val="3A3A3A"/>
          <w:sz w:val="22"/>
          <w:szCs w:val="22"/>
        </w:rPr>
        <w:t xml:space="preserve"> cannot certify GCS extraction without declared enclosing parent context</w:t>
      </w:r>
    </w:p>
    <w:p>
      <w:pPr>
        <w:pStyle w:val="ListParagraph"/>
        <w:numPr>
          <w:ilvl w:val="0"/>
          <w:numId w:val="1"/>
        </w:numPr>
        <w:spacing w:before="40" w:after="80"/>
        <w:rPr/>
      </w:pPr>
      <w:r>
        <w:rPr>
          <w:rFonts w:eastAsia="Arial" w:cs="Arial"/>
          <w:b/>
          <w:bCs/>
          <w:color w:val="3A3A3A"/>
          <w:sz w:val="22"/>
          <w:szCs w:val="22"/>
        </w:rPr>
        <w:t>QM:</w:t>
      </w:r>
      <w:r>
        <w:rPr>
          <w:rFonts w:eastAsia="Arial" w:cs="Arial"/>
          <w:color w:val="3A3A3A"/>
          <w:sz w:val="22"/>
          <w:szCs w:val="22"/>
        </w:rPr>
        <w:t xml:space="preserve">  measurement context is itself a physical system requiring context</w:t>
      </w:r>
    </w:p>
    <w:p>
      <w:pPr>
        <w:pStyle w:val="ListParagraph"/>
        <w:numPr>
          <w:ilvl w:val="0"/>
          <w:numId w:val="1"/>
        </w:numPr>
        <w:spacing w:before="40" w:after="80"/>
        <w:rPr/>
      </w:pPr>
      <w:r>
        <w:rPr>
          <w:rFonts w:eastAsia="Arial" w:cs="Arial"/>
          <w:b/>
          <w:bCs/>
          <w:color w:val="3A3A3A"/>
          <w:sz w:val="22"/>
          <w:szCs w:val="22"/>
        </w:rPr>
        <w:t>Atlas:</w:t>
      </w:r>
      <w:r>
        <w:rPr>
          <w:rFonts w:eastAsia="Arial" w:cs="Arial"/>
          <w:color w:val="3A3A3A"/>
          <w:sz w:val="22"/>
          <w:szCs w:val="22"/>
        </w:rPr>
        <w:t xml:space="preserve"> parent context sources are themselves physical sources requiring context</w:t>
      </w:r>
    </w:p>
    <w:p>
      <w:pPr>
        <w:pStyle w:val="ListParagraph"/>
        <w:numPr>
          <w:ilvl w:val="0"/>
          <w:numId w:val="1"/>
        </w:numPr>
        <w:spacing w:before="40" w:after="80"/>
        <w:rPr/>
      </w:pPr>
      <w:r>
        <w:rPr>
          <w:rFonts w:eastAsia="Arial" w:cs="Arial"/>
          <w:b/>
          <w:bCs/>
          <w:color w:val="3A3A3A"/>
          <w:sz w:val="22"/>
          <w:szCs w:val="22"/>
        </w:rPr>
        <w:t>QM:</w:t>
      </w:r>
      <w:r>
        <w:rPr>
          <w:rFonts w:eastAsia="Arial" w:cs="Arial"/>
          <w:color w:val="3A3A3A"/>
          <w:sz w:val="22"/>
          <w:szCs w:val="22"/>
        </w:rPr>
        <w:t xml:space="preserve">  chain terminates at a declared classical boundary</w:t>
      </w:r>
    </w:p>
    <w:p>
      <w:pPr>
        <w:pStyle w:val="ListParagraph"/>
        <w:numPr>
          <w:ilvl w:val="0"/>
          <w:numId w:val="1"/>
        </w:numPr>
        <w:spacing w:before="40" w:after="80"/>
        <w:rPr/>
      </w:pPr>
      <w:r>
        <w:rPr>
          <w:rFonts w:eastAsia="Arial" w:cs="Arial"/>
          <w:b/>
          <w:bCs/>
          <w:color w:val="3A3A3A"/>
          <w:sz w:val="22"/>
          <w:szCs w:val="22"/>
        </w:rPr>
        <w:t>Atlas:</w:t>
      </w:r>
      <w:r>
        <w:rPr>
          <w:rFonts w:eastAsia="Arial" w:cs="Arial"/>
          <w:color w:val="3A3A3A"/>
          <w:sz w:val="22"/>
          <w:szCs w:val="22"/>
        </w:rPr>
        <w:t xml:space="preserve"> chain terminates at a declared scene cutoff boundary</w:t>
      </w:r>
    </w:p>
    <w:p>
      <w:pPr>
        <w:pStyle w:val="ListParagraph"/>
        <w:numPr>
          <w:ilvl w:val="0"/>
          <w:numId w:val="1"/>
        </w:numPr>
        <w:spacing w:before="40" w:after="80"/>
        <w:rPr/>
      </w:pPr>
      <w:r>
        <w:rPr>
          <w:rFonts w:eastAsia="Arial" w:cs="Arial"/>
          <w:b/>
          <w:bCs/>
          <w:color w:val="3A3A3A"/>
          <w:sz w:val="22"/>
          <w:szCs w:val="22"/>
        </w:rPr>
        <w:t>QM:</w:t>
      </w:r>
      <w:r>
        <w:rPr>
          <w:rFonts w:eastAsia="Arial" w:cs="Arial"/>
          <w:color w:val="3A3A3A"/>
          <w:sz w:val="22"/>
          <w:szCs w:val="22"/>
        </w:rPr>
        <w:t xml:space="preserve">  boundary is declared, not derived from within the formalism</w:t>
      </w:r>
    </w:p>
    <w:p>
      <w:pPr>
        <w:pStyle w:val="ListParagraph"/>
        <w:numPr>
          <w:ilvl w:val="0"/>
          <w:numId w:val="1"/>
        </w:numPr>
        <w:spacing w:before="40" w:after="80"/>
        <w:rPr/>
      </w:pPr>
      <w:r>
        <w:rPr>
          <w:rFonts w:eastAsia="Arial" w:cs="Arial"/>
          <w:b/>
          <w:bCs/>
          <w:color w:val="3A3A3A"/>
          <w:sz w:val="22"/>
          <w:szCs w:val="22"/>
        </w:rPr>
        <w:t>Atlas:</w:t>
      </w:r>
      <w:r>
        <w:rPr>
          <w:rFonts w:eastAsia="Arial" w:cs="Arial"/>
          <w:color w:val="3A3A3A"/>
          <w:sz w:val="22"/>
          <w:szCs w:val="22"/>
        </w:rPr>
        <w:t xml:space="preserve"> cutoff is declared, not derived from within the extraction</w:t>
      </w:r>
    </w:p>
    <w:p>
      <w:pPr>
        <w:pStyle w:val="Normal"/>
        <w:spacing w:before="60" w:after="60"/>
        <w:rPr/>
      </w:pPr>
      <w:r>
        <w:rPr/>
      </w:r>
    </w:p>
    <w:tbl>
      <w:tblPr>
        <w:tblW w:w="9360" w:type="dxa"/>
        <w:jc w:val="start"/>
        <w:tblInd w:w="0" w:type="dxa"/>
        <w:tblLayout w:type="fixed"/>
        <w:tblCellMar>
          <w:top w:w="100" w:type="dxa"/>
          <w:start w:w="160" w:type="dxa"/>
          <w:bottom w:w="100" w:type="dxa"/>
          <w:end w:w="160" w:type="dxa"/>
        </w:tblCellMar>
      </w:tblPr>
      <w:tblGrid>
        <w:gridCol w:w="1199"/>
        <w:gridCol w:w="8161"/>
      </w:tblGrid>
      <w:tr>
        <w:trPr/>
        <w:tc>
          <w:tcPr>
            <w:tcW w:w="1199" w:type="dxa"/>
            <w:tcBorders>
              <w:top w:val="single" w:sz="2" w:space="0" w:color="C8D0DC"/>
              <w:start w:val="single" w:sz="2" w:space="0" w:color="C8D0DC"/>
              <w:bottom w:val="single" w:sz="2" w:space="0" w:color="C8D0DC"/>
              <w:end w:val="single" w:sz="2" w:space="0" w:color="C8D0DC"/>
            </w:tcBorders>
            <w:shd w:fill="F5F7FA" w:val="clear"/>
            <w:vAlign w:val="center"/>
          </w:tcPr>
          <w:p>
            <w:pPr>
              <w:pStyle w:val="Normal"/>
              <w:jc w:val="center"/>
              <w:rPr/>
            </w:pPr>
            <w:r>
              <w:rPr>
                <w:rFonts w:eastAsia="Arial" w:cs="Arial"/>
                <w:b/>
                <w:bCs/>
                <w:color w:val="1F4E79"/>
                <w:sz w:val="18"/>
                <w:szCs w:val="18"/>
              </w:rPr>
              <w:t>STRUCTURAL OBSERVATION</w:t>
            </w:r>
          </w:p>
        </w:tc>
        <w:tc>
          <w:tcPr>
            <w:tcW w:w="8161" w:type="dxa"/>
            <w:tcBorders>
              <w:top w:val="single" w:sz="2" w:space="0" w:color="C8D0DC"/>
              <w:start w:val="single" w:sz="2" w:space="0" w:color="C8D0DC"/>
              <w:bottom w:val="single" w:sz="2" w:space="0" w:color="C8D0DC"/>
              <w:end w:val="single" w:sz="2" w:space="0" w:color="C8D0DC"/>
            </w:tcBorders>
            <w:shd w:fill="FFFFFF" w:val="clear"/>
            <w:tcMar>
              <w:start w:w="180" w:type="dxa"/>
              <w:end w:w="180" w:type="dxa"/>
            </w:tcMar>
          </w:tcPr>
          <w:p>
            <w:pPr>
              <w:pStyle w:val="Normal"/>
              <w:rPr/>
            </w:pPr>
            <w:r>
              <w:rPr>
                <w:rFonts w:eastAsia="Arial" w:cs="Arial"/>
                <w:i/>
                <w:iCs/>
                <w:color w:val="3A3A3A"/>
                <w:sz w:val="21"/>
                <w:szCs w:val="21"/>
              </w:rPr>
              <w:t>The logical structure of the certification chain — system requires context, context requires context, chain terminates at declaration — is formally identical in both cases. This is not a superficial analogy. The recursive dependency structure is the same object appearing in two different physical frameworks.</w:t>
            </w:r>
          </w:p>
        </w:tc>
      </w:tr>
    </w:tbl>
    <w:p>
      <w:pPr>
        <w:pStyle w:val="Heading2"/>
        <w:spacing w:before="280" w:after="120"/>
        <w:rPr/>
      </w:pPr>
      <w:r>
        <w:rPr>
          <w:rFonts w:eastAsia="Arial" w:cs="Arial" w:ascii="Arial" w:hAnsi="Arial"/>
          <w:b/>
          <w:bCs/>
          <w:color w:val="1F4E79"/>
          <w:sz w:val="24"/>
          <w:szCs w:val="24"/>
        </w:rPr>
        <w:t>3.3 Where the Parallel Holds</w:t>
      </w:r>
    </w:p>
    <w:p>
      <w:pPr>
        <w:pStyle w:val="Normal"/>
        <w:spacing w:before="60" w:after="120"/>
        <w:rPr/>
      </w:pPr>
      <w:r>
        <w:rPr>
          <w:rFonts w:eastAsia="Arial" w:cs="Arial"/>
          <w:color w:val="3A3A3A"/>
          <w:sz w:val="22"/>
          <w:szCs w:val="22"/>
        </w:rPr>
        <w:t>The parallel holds precisely at the level of logical structure:</w:t>
      </w:r>
    </w:p>
    <w:p>
      <w:pPr>
        <w:pStyle w:val="ListParagraph"/>
        <w:numPr>
          <w:ilvl w:val="0"/>
          <w:numId w:val="1"/>
        </w:numPr>
        <w:spacing w:before="40" w:after="80"/>
        <w:rPr/>
      </w:pPr>
      <w:r>
        <w:rPr>
          <w:rFonts w:eastAsia="Arial" w:cs="Arial"/>
          <w:color w:val="3A3A3A"/>
          <w:sz w:val="22"/>
          <w:szCs w:val="22"/>
        </w:rPr>
        <w:t>The certification chain in both cases is recursive and does not self-terminate</w:t>
      </w:r>
    </w:p>
    <w:p>
      <w:pPr>
        <w:pStyle w:val="ListParagraph"/>
        <w:numPr>
          <w:ilvl w:val="0"/>
          <w:numId w:val="1"/>
        </w:numPr>
        <w:spacing w:before="40" w:after="80"/>
        <w:rPr/>
      </w:pPr>
      <w:r>
        <w:rPr>
          <w:rFonts w:eastAsia="Arial" w:cs="Arial"/>
          <w:color w:val="3A3A3A"/>
          <w:sz w:val="22"/>
          <w:szCs w:val="22"/>
        </w:rPr>
        <w:t>Both require an external declaration to close the chain</w:t>
      </w:r>
    </w:p>
    <w:p>
      <w:pPr>
        <w:pStyle w:val="ListParagraph"/>
        <w:numPr>
          <w:ilvl w:val="0"/>
          <w:numId w:val="1"/>
        </w:numPr>
        <w:spacing w:before="40" w:after="80"/>
        <w:rPr/>
      </w:pPr>
      <w:r>
        <w:rPr>
          <w:rFonts w:eastAsia="Arial" w:cs="Arial"/>
          <w:color w:val="3A3A3A"/>
          <w:sz w:val="22"/>
          <w:szCs w:val="22"/>
        </w:rPr>
        <w:t>The declared boundary is conventional, not derived</w:t>
      </w:r>
    </w:p>
    <w:p>
      <w:pPr>
        <w:pStyle w:val="ListParagraph"/>
        <w:numPr>
          <w:ilvl w:val="0"/>
          <w:numId w:val="1"/>
        </w:numPr>
        <w:spacing w:before="40" w:after="80"/>
        <w:rPr/>
      </w:pPr>
      <w:r>
        <w:rPr>
          <w:rFonts w:eastAsia="Arial" w:cs="Arial"/>
          <w:color w:val="3A3A3A"/>
          <w:sz w:val="22"/>
          <w:szCs w:val="22"/>
        </w:rPr>
        <w:t>In both cases, the unresolved context layer is load-bearing — removing it collapses the lawfulness of the interior</w:t>
      </w:r>
    </w:p>
    <w:p>
      <w:pPr>
        <w:pStyle w:val="ListParagraph"/>
        <w:numPr>
          <w:ilvl w:val="0"/>
          <w:numId w:val="1"/>
        </w:numPr>
        <w:spacing w:before="40" w:after="80"/>
        <w:rPr/>
      </w:pPr>
      <w:r>
        <w:rPr>
          <w:rFonts w:eastAsia="Arial" w:cs="Arial"/>
          <w:color w:val="3A3A3A"/>
          <w:sz w:val="22"/>
          <w:szCs w:val="22"/>
        </w:rPr>
        <w:t>In both cases, extending the boundary shifts the problem outward without eliminating it</w:t>
      </w:r>
    </w:p>
    <w:p>
      <w:pPr>
        <w:pStyle w:val="Heading2"/>
        <w:spacing w:before="280" w:after="120"/>
        <w:rPr/>
      </w:pPr>
      <w:r>
        <w:rPr>
          <w:rFonts w:eastAsia="Arial" w:cs="Arial" w:ascii="Arial" w:hAnsi="Arial"/>
          <w:b/>
          <w:bCs/>
          <w:color w:val="1F4E79"/>
          <w:sz w:val="24"/>
          <w:szCs w:val="24"/>
        </w:rPr>
        <w:t>3.4 Where the Parallel Breaks</w:t>
      </w:r>
    </w:p>
    <w:p>
      <w:pPr>
        <w:pStyle w:val="Normal"/>
        <w:spacing w:before="60" w:after="120"/>
        <w:rPr/>
      </w:pPr>
      <w:r>
        <w:rPr>
          <w:rFonts w:eastAsia="Arial" w:cs="Arial"/>
          <w:color w:val="3A3A3A"/>
          <w:sz w:val="22"/>
          <w:szCs w:val="22"/>
        </w:rPr>
        <w:t>The parallel is structural, not physical. Important disanalogies:</w:t>
      </w:r>
    </w:p>
    <w:p>
      <w:pPr>
        <w:pStyle w:val="ListParagraph"/>
        <w:numPr>
          <w:ilvl w:val="0"/>
          <w:numId w:val="1"/>
        </w:numPr>
        <w:spacing w:before="40" w:after="80"/>
        <w:rPr/>
      </w:pPr>
      <w:r>
        <w:rPr>
          <w:rFonts w:eastAsia="Arial" w:cs="Arial"/>
          <w:b w:val="false"/>
          <w:bCs w:val="false"/>
          <w:color w:val="3A3A3A"/>
          <w:sz w:val="22"/>
          <w:szCs w:val="22"/>
        </w:rPr>
        <w:t>QM superposition is a physical state with measurable interference effects.</w:t>
      </w:r>
      <w:r>
        <w:rPr>
          <w:rFonts w:eastAsia="Arial" w:cs="Arial"/>
          <w:i/>
          <w:iCs/>
          <w:color w:val="3A3A3A"/>
          <w:sz w:val="22"/>
          <w:szCs w:val="22"/>
        </w:rPr>
        <w:t xml:space="preserve"> Atlas limbo is a relational certification condition — it does not imply that the context providers are in a quantum superposition or exhibit wave-like behavior.</w:t>
      </w:r>
    </w:p>
    <w:p>
      <w:pPr>
        <w:pStyle w:val="ListParagraph"/>
        <w:numPr>
          <w:ilvl w:val="0"/>
          <w:numId w:val="1"/>
        </w:numPr>
        <w:spacing w:before="40" w:after="80"/>
        <w:rPr/>
      </w:pPr>
      <w:r>
        <w:rPr>
          <w:rFonts w:eastAsia="Arial" w:cs="Arial"/>
          <w:color w:val="3A3A3A"/>
          <w:sz w:val="22"/>
          <w:szCs w:val="22"/>
        </w:rPr>
        <w:t>QM measurement involves wavefunction collapse or branching. Atlas scene extension is a deterministic ledger operation — no collapse, no branching, no probabilistic outcome.</w:t>
      </w:r>
    </w:p>
    <w:p>
      <w:pPr>
        <w:pStyle w:val="ListParagraph"/>
        <w:numPr>
          <w:ilvl w:val="0"/>
          <w:numId w:val="1"/>
        </w:numPr>
        <w:spacing w:before="40" w:after="80"/>
        <w:rPr/>
      </w:pPr>
      <w:r>
        <w:rPr>
          <w:rFonts w:eastAsia="Arial" w:cs="Arial"/>
          <w:color w:val="3A3A3A"/>
          <w:sz w:val="22"/>
          <w:szCs w:val="22"/>
        </w:rPr>
        <w:t>QM observer effects are irreversible in the Copenhagen interpretation. Atlas scene boundary shifts are fully reversible — extending the scene is a clean computational operation.</w:t>
      </w:r>
    </w:p>
    <w:p>
      <w:pPr>
        <w:pStyle w:val="ListParagraph"/>
        <w:numPr>
          <w:ilvl w:val="0"/>
          <w:numId w:val="1"/>
        </w:numPr>
        <w:spacing w:before="40" w:after="80"/>
        <w:rPr/>
      </w:pPr>
      <w:r>
        <w:rPr>
          <w:rFonts w:eastAsia="Arial" w:cs="Arial"/>
          <w:color w:val="3A3A3A"/>
          <w:sz w:val="22"/>
          <w:szCs w:val="22"/>
        </w:rPr>
        <w:t>QM context dependency is about observable outcomes. Atlas context dependency is about extraction lawfulness — a methodological condition, not a physical one.</w:t>
      </w:r>
    </w:p>
    <w:p>
      <w:pPr>
        <w:pStyle w:val="Normal"/>
        <w:spacing w:before="40" w:after="40"/>
        <w:rPr/>
      </w:pPr>
      <w:r>
        <w:rPr/>
      </w:r>
    </w:p>
    <w:tbl>
      <w:tblPr>
        <w:tblW w:w="9360" w:type="dxa"/>
        <w:jc w:val="start"/>
        <w:tblInd w:w="0" w:type="dxa"/>
        <w:tblLayout w:type="fixed"/>
        <w:tblCellMar>
          <w:top w:w="100" w:type="dxa"/>
          <w:start w:w="160" w:type="dxa"/>
          <w:bottom w:w="100" w:type="dxa"/>
          <w:end w:w="160" w:type="dxa"/>
        </w:tblCellMar>
      </w:tblPr>
      <w:tblGrid>
        <w:gridCol w:w="1199"/>
        <w:gridCol w:w="8161"/>
      </w:tblGrid>
      <w:tr>
        <w:trPr/>
        <w:tc>
          <w:tcPr>
            <w:tcW w:w="1199" w:type="dxa"/>
            <w:tcBorders>
              <w:top w:val="single" w:sz="2" w:space="0" w:color="C8D0DC"/>
              <w:start w:val="single" w:sz="2" w:space="0" w:color="C8D0DC"/>
              <w:bottom w:val="single" w:sz="2" w:space="0" w:color="C8D0DC"/>
              <w:end w:val="single" w:sz="2" w:space="0" w:color="C8D0DC"/>
            </w:tcBorders>
            <w:shd w:fill="F5F7FA" w:val="clear"/>
            <w:vAlign w:val="center"/>
          </w:tcPr>
          <w:p>
            <w:pPr>
              <w:pStyle w:val="Normal"/>
              <w:jc w:val="center"/>
              <w:rPr/>
            </w:pPr>
            <w:r>
              <w:rPr>
                <w:rFonts w:eastAsia="Arial" w:cs="Arial"/>
                <w:b/>
                <w:bCs/>
                <w:color w:val="7A4A00"/>
                <w:sz w:val="18"/>
                <w:szCs w:val="18"/>
              </w:rPr>
              <w:t>SPECULATIVE HYPOTHESIS</w:t>
            </w:r>
          </w:p>
        </w:tc>
        <w:tc>
          <w:tcPr>
            <w:tcW w:w="8161" w:type="dxa"/>
            <w:tcBorders>
              <w:top w:val="single" w:sz="2" w:space="0" w:color="C8D0DC"/>
              <w:start w:val="single" w:sz="2" w:space="0" w:color="C8D0DC"/>
              <w:bottom w:val="single" w:sz="2" w:space="0" w:color="C8D0DC"/>
              <w:end w:val="single" w:sz="2" w:space="0" w:color="C8D0DC"/>
            </w:tcBorders>
            <w:shd w:fill="FFFFFF" w:val="clear"/>
            <w:tcMar>
              <w:start w:w="180" w:type="dxa"/>
              <w:end w:w="180" w:type="dxa"/>
            </w:tcMar>
          </w:tcPr>
          <w:p>
            <w:pPr>
              <w:pStyle w:val="Normal"/>
              <w:rPr/>
            </w:pPr>
            <w:r>
              <w:rPr>
                <w:rFonts w:eastAsia="Arial" w:cs="Arial"/>
                <w:i/>
                <w:iCs/>
                <w:color w:val="3A3A3A"/>
                <w:sz w:val="21"/>
                <w:szCs w:val="21"/>
              </w:rPr>
              <w:t>If the context-provider effect proves to be active rather than passive — meaning the 44 outer sources materially deform the interior GCS geometry in a measurable, systematic way — then Atlas may be providing a geometric, classical analogue of observer-context dependency with a computable quantity attached. This would be more than structural parallel. It is not claimed. It requires the validation branch experiment.</w:t>
            </w:r>
          </w:p>
        </w:tc>
      </w:tr>
    </w:tbl>
    <w:p>
      <w:pPr>
        <w:pStyle w:val="Normal"/>
        <w:pBdr>
          <w:bottom w:val="single" w:sz="2" w:space="1" w:color="C8D0DC"/>
        </w:pBdr>
        <w:spacing w:before="200" w:after="200"/>
        <w:rPr/>
      </w:pPr>
      <w:r>
        <w:rPr/>
      </w:r>
    </w:p>
    <w:p>
      <w:pPr>
        <w:pStyle w:val="Heading1"/>
        <w:spacing w:before="360" w:after="160"/>
        <w:rPr/>
      </w:pPr>
      <w:r>
        <w:rPr>
          <w:rFonts w:eastAsia="Arial" w:cs="Arial" w:ascii="Arial" w:hAnsi="Arial"/>
          <w:b/>
          <w:bCs/>
          <w:color w:val="1A2F4E"/>
          <w:sz w:val="30"/>
          <w:szCs w:val="30"/>
        </w:rPr>
        <w:t>4. The Distinguishing Experiment</w:t>
      </w:r>
    </w:p>
    <w:p>
      <w:pPr>
        <w:pStyle w:val="Heading2"/>
        <w:spacing w:before="280" w:after="120"/>
        <w:rPr/>
      </w:pPr>
      <w:r>
        <w:rPr>
          <w:rFonts w:eastAsia="Arial" w:cs="Arial" w:ascii="Arial" w:hAnsi="Arial"/>
          <w:b/>
          <w:bCs/>
          <w:color w:val="1F4E79"/>
          <w:sz w:val="24"/>
          <w:szCs w:val="24"/>
        </w:rPr>
        <w:t>4.1 Design</w:t>
      </w:r>
    </w:p>
    <w:p>
      <w:pPr>
        <w:pStyle w:val="Normal"/>
        <w:spacing w:before="60" w:after="120"/>
        <w:rPr/>
      </w:pPr>
      <w:r>
        <w:rPr>
          <w:rFonts w:eastAsia="Arial" w:cs="Arial"/>
          <w:color w:val="3A3A3A"/>
          <w:sz w:val="22"/>
          <w:szCs w:val="22"/>
        </w:rPr>
        <w:t>The validation branch compares two extractions on the same scene:</w:t>
      </w:r>
    </w:p>
    <w:p>
      <w:pPr>
        <w:pStyle w:val="Normal"/>
        <w:spacing w:before="40" w:after="40"/>
        <w:rPr/>
      </w:pPr>
      <w:r>
        <w:rPr/>
      </w:r>
    </w:p>
    <w:tbl>
      <w:tblPr>
        <w:tblW w:w="9360" w:type="dxa"/>
        <w:jc w:val="start"/>
        <w:tblInd w:w="0" w:type="dxa"/>
        <w:tblLayout w:type="fixed"/>
        <w:tblCellMar>
          <w:top w:w="100" w:type="dxa"/>
          <w:start w:w="160" w:type="dxa"/>
          <w:bottom w:w="100" w:type="dxa"/>
          <w:end w:w="160" w:type="dxa"/>
        </w:tblCellMar>
      </w:tblPr>
      <w:tblGrid>
        <w:gridCol w:w="1199"/>
        <w:gridCol w:w="8161"/>
      </w:tblGrid>
      <w:tr>
        <w:trPr/>
        <w:tc>
          <w:tcPr>
            <w:tcW w:w="1199" w:type="dxa"/>
            <w:tcBorders>
              <w:top w:val="single" w:sz="2" w:space="0" w:color="C8D0DC"/>
              <w:start w:val="single" w:sz="2" w:space="0" w:color="C8D0DC"/>
              <w:bottom w:val="single" w:sz="2" w:space="0" w:color="C8D0DC"/>
              <w:end w:val="single" w:sz="2" w:space="0" w:color="C8D0DC"/>
            </w:tcBorders>
            <w:shd w:fill="F5F7FA" w:val="clear"/>
            <w:vAlign w:val="center"/>
          </w:tcPr>
          <w:p>
            <w:pPr>
              <w:pStyle w:val="Normal"/>
              <w:jc w:val="center"/>
              <w:rPr/>
            </w:pPr>
            <w:r>
              <w:rPr>
                <w:rFonts w:eastAsia="Arial" w:cs="Arial"/>
                <w:b/>
                <w:bCs/>
                <w:color w:val="7B1A1A"/>
                <w:sz w:val="18"/>
                <w:szCs w:val="18"/>
              </w:rPr>
              <w:t>OPEN QUESTION</w:t>
            </w:r>
          </w:p>
        </w:tc>
        <w:tc>
          <w:tcPr>
            <w:tcW w:w="8161" w:type="dxa"/>
            <w:tcBorders>
              <w:top w:val="single" w:sz="2" w:space="0" w:color="C8D0DC"/>
              <w:start w:val="single" w:sz="2" w:space="0" w:color="C8D0DC"/>
              <w:bottom w:val="single" w:sz="2" w:space="0" w:color="C8D0DC"/>
              <w:end w:val="single" w:sz="2" w:space="0" w:color="C8D0DC"/>
            </w:tcBorders>
            <w:shd w:fill="FFFFFF" w:val="clear"/>
            <w:tcMar>
              <w:start w:w="180" w:type="dxa"/>
              <w:end w:w="180" w:type="dxa"/>
            </w:tcMar>
          </w:tcPr>
          <w:p>
            <w:pPr>
              <w:pStyle w:val="Normal"/>
              <w:rPr/>
            </w:pPr>
            <w:r>
              <w:rPr>
                <w:rFonts w:eastAsia="Arial" w:cs="Arial"/>
                <w:i/>
                <w:iCs/>
                <w:color w:val="3A3A3A"/>
                <w:sz w:val="21"/>
                <w:szCs w:val="21"/>
              </w:rPr>
              <w:t>Do the 44 context-only sources passively complete the neighbor context of S1–S12, or do they actively deform the GCS geometry of the interior extraction targets beyond the nearest-neighbor approximation?</w:t>
            </w:r>
          </w:p>
        </w:tc>
      </w:tr>
    </w:tbl>
    <w:p>
      <w:pPr>
        <w:pStyle w:val="Normal"/>
        <w:spacing w:before="40" w:after="40"/>
        <w:rPr/>
      </w:pPr>
      <w:r>
        <w:rPr/>
      </w:r>
    </w:p>
    <w:p>
      <w:pPr>
        <w:pStyle w:val="Normal"/>
        <w:spacing w:before="60" w:after="120"/>
        <w:rPr/>
      </w:pPr>
      <w:r>
        <w:rPr>
          <w:rFonts w:eastAsia="Arial" w:cs="Arial"/>
          <w:color w:val="3A3A3A"/>
          <w:sz w:val="22"/>
          <w:szCs w:val="22"/>
        </w:rPr>
        <w:t>Branch A (current): Nearest-neighbor context only.</w:t>
      </w:r>
    </w:p>
    <w:p>
      <w:pPr>
        <w:pStyle w:val="Normal"/>
        <w:spacing w:before="120" w:after="120"/>
        <w:jc w:val="center"/>
        <w:rPr/>
      </w:pPr>
      <w:r>
        <w:rPr>
          <w:rFonts w:eastAsia="Courier New" w:cs="Courier New" w:ascii="Courier New" w:hAnsi="Courier New"/>
          <w:b/>
          <w:bCs/>
          <w:color w:val="1A2F4E"/>
          <w:sz w:val="22"/>
          <w:szCs w:val="22"/>
        </w:rPr>
        <w:t>Ψ_max_NN(x) = Q_i − max_j Q_j,   j ∈ neighbors(i)</w:t>
      </w:r>
    </w:p>
    <w:p>
      <w:pPr>
        <w:pStyle w:val="Normal"/>
        <w:spacing w:before="60" w:after="120"/>
        <w:rPr/>
      </w:pPr>
      <w:r>
        <w:rPr>
          <w:rFonts w:eastAsia="Arial" w:cs="Arial"/>
          <w:color w:val="3A3A3A"/>
          <w:sz w:val="22"/>
          <w:szCs w:val="22"/>
        </w:rPr>
        <w:t>Branch B (validation): Full declared roster.</w:t>
      </w:r>
    </w:p>
    <w:p>
      <w:pPr>
        <w:pStyle w:val="Normal"/>
        <w:spacing w:before="120" w:after="120"/>
        <w:jc w:val="center"/>
        <w:rPr/>
      </w:pPr>
      <w:r>
        <w:rPr>
          <w:rFonts w:eastAsia="Courier New" w:cs="Courier New" w:ascii="Courier New" w:hAnsi="Courier New"/>
          <w:b/>
          <w:bCs/>
          <w:color w:val="1A2F4E"/>
          <w:sz w:val="22"/>
          <w:szCs w:val="22"/>
        </w:rPr>
        <w:t>Ψ_max_full(x) = Q_i − max_j Q_j,   j ∈ all other 56 sources</w:t>
      </w:r>
    </w:p>
    <w:p>
      <w:pPr>
        <w:pStyle w:val="Normal"/>
        <w:spacing w:before="60" w:after="120"/>
        <w:rPr/>
      </w:pPr>
      <w:r>
        <w:rPr>
          <w:rFonts w:eastAsia="Arial" w:cs="Arial"/>
          <w:color w:val="3A3A3A"/>
          <w:sz w:val="22"/>
          <w:szCs w:val="22"/>
        </w:rPr>
        <w:t>The comparison metric is the geometric deformation between Branch A and Branch B extraction clouds, per interior extraction target. If the deformation is negligible — below a declared sensitivity threshold — the 44 context providers are passive: they complete the scene without disturbing it. If the deformation is systematic and measurable, they are active: the limbo state has observable consequences on the interior geometry.</w:t>
      </w:r>
    </w:p>
    <w:p>
      <w:pPr>
        <w:pStyle w:val="Heading2"/>
        <w:spacing w:before="280" w:after="120"/>
        <w:rPr/>
      </w:pPr>
      <w:r>
        <w:rPr>
          <w:rFonts w:eastAsia="Arial" w:cs="Arial" w:ascii="Arial" w:hAnsi="Arial"/>
          <w:b/>
          <w:bCs/>
          <w:color w:val="1F4E79"/>
          <w:sz w:val="24"/>
          <w:szCs w:val="24"/>
        </w:rPr>
        <w:t>4.2 What Active Would Mean</w:t>
      </w:r>
    </w:p>
    <w:p>
      <w:pPr>
        <w:pStyle w:val="Normal"/>
        <w:spacing w:before="60" w:after="120"/>
        <w:rPr/>
      </w:pPr>
      <w:r>
        <w:rPr>
          <w:rFonts w:eastAsia="Arial" w:cs="Arial"/>
          <w:b/>
          <w:bCs/>
          <w:color w:val="3A3A3A"/>
          <w:sz w:val="22"/>
          <w:szCs w:val="22"/>
        </w:rPr>
        <w:t xml:space="preserve">If active: </w:t>
      </w:r>
      <w:r>
        <w:rPr>
          <w:rFonts w:eastAsia="Arial" w:cs="Arial"/>
          <w:color w:val="3A3A3A"/>
          <w:sz w:val="22"/>
          <w:szCs w:val="22"/>
        </w:rPr>
        <w:t>the GCS boundary of each interior target shifts measurably when the full 57-source field replaces the 12-neighbor NN context. The direction and magnitude of that shift would be a geometric record of how the unresolved outer context presses on the interior geometry. That is observer-context dependency with a number attached — a computable, ledgered quantity.</w:t>
      </w:r>
    </w:p>
    <w:p>
      <w:pPr>
        <w:pStyle w:val="Normal"/>
        <w:spacing w:before="60" w:after="120"/>
        <w:rPr/>
      </w:pPr>
      <w:r>
        <w:rPr>
          <w:rFonts w:eastAsia="Arial" w:cs="Arial"/>
          <w:b/>
          <w:bCs/>
          <w:color w:val="3A3A3A"/>
          <w:sz w:val="22"/>
          <w:szCs w:val="22"/>
        </w:rPr>
        <w:t xml:space="preserve">If passive: </w:t>
      </w:r>
      <w:r>
        <w:rPr>
          <w:rFonts w:eastAsia="Arial" w:cs="Arial"/>
          <w:color w:val="3A3A3A"/>
          <w:sz w:val="22"/>
          <w:szCs w:val="22"/>
        </w:rPr>
        <w:t>the NN branch and the full-field branch agree within sensitivity. The 44 outer sources are doing exactly what their role says — completing the scene without distorting it. The limbo condition is structurally necessary but physically inert at this scale.</w:t>
      </w:r>
    </w:p>
    <w:p>
      <w:pPr>
        <w:pStyle w:val="Normal"/>
        <w:spacing w:before="60" w:after="120"/>
        <w:rPr/>
      </w:pPr>
      <w:r>
        <w:rPr>
          <w:rFonts w:eastAsia="Arial" w:cs="Arial"/>
          <w:color w:val="3A3A3A"/>
          <w:sz w:val="22"/>
          <w:szCs w:val="22"/>
        </w:rPr>
        <w:t>Either result advances the lab. The active result opens a new research direction. The passive result confirms that the NN branch is a valid approximation and grounds the next promotion step.</w:t>
      </w:r>
    </w:p>
    <w:p>
      <w:pPr>
        <w:pStyle w:val="Heading2"/>
        <w:spacing w:before="280" w:after="120"/>
        <w:rPr/>
      </w:pPr>
      <w:r>
        <w:rPr>
          <w:rFonts w:eastAsia="Arial" w:cs="Arial" w:ascii="Arial" w:hAnsi="Arial"/>
          <w:b/>
          <w:bCs/>
          <w:color w:val="1F4E79"/>
          <w:sz w:val="24"/>
          <w:szCs w:val="24"/>
        </w:rPr>
        <w:t>4.3 Execution Order</w:t>
      </w:r>
    </w:p>
    <w:p>
      <w:pPr>
        <w:pStyle w:val="Normal"/>
        <w:spacing w:before="60" w:after="120"/>
        <w:rPr/>
      </w:pPr>
      <w:r>
        <w:rPr>
          <w:rFonts w:eastAsia="Arial" w:cs="Arial"/>
          <w:color w:val="3A3A3A"/>
          <w:sz w:val="22"/>
          <w:szCs w:val="22"/>
        </w:rPr>
        <w:t>Per GPT wing adjudication (2026-04-26), the prescribed order before this experiment runs:</w:t>
      </w:r>
    </w:p>
    <w:p>
      <w:pPr>
        <w:pStyle w:val="ListParagraph"/>
        <w:numPr>
          <w:ilvl w:val="0"/>
          <w:numId w:val="1"/>
        </w:numPr>
        <w:spacing w:before="40" w:after="80"/>
        <w:rPr/>
      </w:pPr>
      <w:r>
        <w:rPr>
          <w:rFonts w:eastAsia="Arial" w:cs="Arial"/>
          <w:color w:val="3A3A3A"/>
          <w:sz w:val="22"/>
          <w:szCs w:val="22"/>
        </w:rPr>
        <w:t>Freeze and test scene passport: cutoff stability, neighbor graph stability, 57-source roster stability</w:t>
      </w:r>
    </w:p>
    <w:p>
      <w:pPr>
        <w:pStyle w:val="ListParagraph"/>
        <w:numPr>
          <w:ilvl w:val="0"/>
          <w:numId w:val="1"/>
        </w:numPr>
        <w:spacing w:before="40" w:after="80"/>
        <w:rPr/>
      </w:pPr>
      <w:r>
        <w:rPr>
          <w:rFonts w:eastAsia="Arial" w:cs="Arial"/>
          <w:color w:val="3A3A3A"/>
          <w:sz w:val="22"/>
          <w:szCs w:val="22"/>
        </w:rPr>
        <w:t>Clean reproduction from fresh script (independent of this session)</w:t>
      </w:r>
    </w:p>
    <w:p>
      <w:pPr>
        <w:pStyle w:val="ListParagraph"/>
        <w:numPr>
          <w:ilvl w:val="0"/>
          <w:numId w:val="1"/>
        </w:numPr>
        <w:spacing w:before="40" w:after="80"/>
        <w:rPr/>
      </w:pPr>
      <w:r>
        <w:rPr>
          <w:rFonts w:eastAsia="Arial" w:cs="Arial"/>
          <w:color w:val="3A3A3A"/>
          <w:sz w:val="22"/>
          <w:szCs w:val="22"/>
        </w:rPr>
        <w:t>Ray count sweep: 128 → 256 → 512 → 1024</w:t>
      </w:r>
    </w:p>
    <w:p>
      <w:pPr>
        <w:pStyle w:val="ListParagraph"/>
        <w:numPr>
          <w:ilvl w:val="0"/>
          <w:numId w:val="1"/>
        </w:numPr>
        <w:spacing w:before="40" w:after="80"/>
        <w:rPr/>
      </w:pPr>
      <w:r>
        <w:rPr>
          <w:rFonts w:eastAsia="Arial" w:cs="Arial"/>
          <w:color w:val="3A3A3A"/>
          <w:sz w:val="22"/>
          <w:szCs w:val="22"/>
        </w:rPr>
        <w:t>Angular sampler comparison: Fibonacci vs icosphere vs jittered</w:t>
      </w:r>
    </w:p>
    <w:p>
      <w:pPr>
        <w:pStyle w:val="ListParagraph"/>
        <w:numPr>
          <w:ilvl w:val="0"/>
          <w:numId w:val="1"/>
        </w:numPr>
        <w:spacing w:before="40" w:after="80"/>
        <w:rPr/>
      </w:pPr>
      <w:r>
        <w:rPr>
          <w:rFonts w:eastAsia="Arial" w:cs="Arial"/>
          <w:color w:val="3A3A3A"/>
          <w:sz w:val="22"/>
          <w:szCs w:val="22"/>
        </w:rPr>
        <w:t>Softening sweep</w:t>
      </w:r>
    </w:p>
    <w:p>
      <w:pPr>
        <w:pStyle w:val="ListParagraph"/>
        <w:numPr>
          <w:ilvl w:val="0"/>
          <w:numId w:val="1"/>
        </w:numPr>
        <w:spacing w:before="40" w:after="80"/>
        <w:rPr/>
      </w:pPr>
      <w:r>
        <w:rPr>
          <w:rFonts w:eastAsia="Arial" w:cs="Arial"/>
          <w:color w:val="3A3A3A"/>
          <w:sz w:val="22"/>
          <w:szCs w:val="22"/>
        </w:rPr>
        <w:t>Then: Branch B full-field validation run</w:t>
      </w:r>
    </w:p>
    <w:p>
      <w:pPr>
        <w:pStyle w:val="ListParagraph"/>
        <w:numPr>
          <w:ilvl w:val="0"/>
          <w:numId w:val="1"/>
        </w:numPr>
        <w:spacing w:before="40" w:after="80"/>
        <w:rPr/>
      </w:pPr>
      <w:r>
        <w:rPr>
          <w:rFonts w:eastAsia="Arial" w:cs="Arial"/>
          <w:color w:val="3A3A3A"/>
          <w:sz w:val="22"/>
          <w:szCs w:val="22"/>
        </w:rPr>
        <w:t>Then: Geometric deformation analysis between Branch A and Branch B</w:t>
      </w:r>
    </w:p>
    <w:p>
      <w:pPr>
        <w:pStyle w:val="Normal"/>
        <w:pBdr>
          <w:bottom w:val="single" w:sz="2" w:space="1" w:color="C8D0DC"/>
        </w:pBdr>
        <w:spacing w:before="200" w:after="200"/>
        <w:rPr/>
      </w:pPr>
      <w:r>
        <w:rPr/>
      </w:r>
    </w:p>
    <w:p>
      <w:pPr>
        <w:pStyle w:val="Heading1"/>
        <w:spacing w:before="360" w:after="160"/>
        <w:rPr/>
      </w:pPr>
      <w:r>
        <w:rPr>
          <w:rFonts w:eastAsia="Arial" w:cs="Arial" w:ascii="Arial" w:hAnsi="Arial"/>
          <w:b/>
          <w:bCs/>
          <w:color w:val="1A2F4E"/>
          <w:sz w:val="30"/>
          <w:szCs w:val="30"/>
        </w:rPr>
        <w:t>5. Open Questions</w:t>
      </w:r>
    </w:p>
    <w:p>
      <w:pPr>
        <w:pStyle w:val="Heading2"/>
        <w:spacing w:before="280" w:after="120"/>
        <w:rPr/>
      </w:pPr>
      <w:r>
        <w:rPr>
          <w:rFonts w:eastAsia="Arial" w:cs="Arial" w:ascii="Arial" w:hAnsi="Arial"/>
          <w:b/>
          <w:bCs/>
          <w:color w:val="1F4E79"/>
          <w:sz w:val="24"/>
          <w:szCs w:val="24"/>
        </w:rPr>
        <w:t>5.1 Immediate</w:t>
      </w:r>
    </w:p>
    <w:p>
      <w:pPr>
        <w:pStyle w:val="ListParagraph"/>
        <w:numPr>
          <w:ilvl w:val="0"/>
          <w:numId w:val="1"/>
        </w:numPr>
        <w:spacing w:before="40" w:after="80"/>
        <w:rPr/>
      </w:pPr>
      <w:r>
        <w:rPr>
          <w:rFonts w:eastAsia="Arial" w:cs="Arial"/>
          <w:color w:val="3A3A3A"/>
          <w:sz w:val="22"/>
          <w:szCs w:val="22"/>
        </w:rPr>
        <w:t>Is the context-provider deformation (Branch A vs Branch B) above or below the declared sensitivity threshold?</w:t>
      </w:r>
    </w:p>
    <w:p>
      <w:pPr>
        <w:pStyle w:val="ListParagraph"/>
        <w:numPr>
          <w:ilvl w:val="0"/>
          <w:numId w:val="1"/>
        </w:numPr>
        <w:spacing w:before="40" w:after="80"/>
        <w:rPr/>
      </w:pPr>
      <w:r>
        <w:rPr>
          <w:rFonts w:eastAsia="Arial" w:cs="Arial"/>
          <w:color w:val="3A3A3A"/>
          <w:sz w:val="22"/>
          <w:szCs w:val="22"/>
        </w:rPr>
        <w:t>Does the limbo boundary shift systematically with HCP lattice extension, or does it converge?</w:t>
      </w:r>
    </w:p>
    <w:p>
      <w:pPr>
        <w:pStyle w:val="ListParagraph"/>
        <w:numPr>
          <w:ilvl w:val="0"/>
          <w:numId w:val="1"/>
        </w:numPr>
        <w:spacing w:before="40" w:after="80"/>
        <w:rPr/>
      </w:pPr>
      <w:r>
        <w:rPr>
          <w:rFonts w:eastAsia="Arial" w:cs="Arial"/>
          <w:color w:val="3A3A3A"/>
          <w:sz w:val="22"/>
          <w:szCs w:val="22"/>
        </w:rPr>
        <w:t>Is there a minimum lawful scene size for HCP — a cutoff beyond which extending the scene produces negligible change in the interior GCS geometry?</w:t>
      </w:r>
    </w:p>
    <w:p>
      <w:pPr>
        <w:pStyle w:val="Heading2"/>
        <w:spacing w:before="280" w:after="120"/>
        <w:rPr/>
      </w:pPr>
      <w:r>
        <w:rPr>
          <w:rFonts w:eastAsia="Arial" w:cs="Arial" w:ascii="Arial" w:hAnsi="Arial"/>
          <w:b/>
          <w:bCs/>
          <w:color w:val="1F4E79"/>
          <w:sz w:val="24"/>
          <w:szCs w:val="24"/>
        </w:rPr>
        <w:t>5.2 Structural</w:t>
      </w:r>
    </w:p>
    <w:p>
      <w:pPr>
        <w:pStyle w:val="ListParagraph"/>
        <w:numPr>
          <w:ilvl w:val="0"/>
          <w:numId w:val="1"/>
        </w:numPr>
        <w:spacing w:before="40" w:after="80"/>
        <w:rPr/>
      </w:pPr>
      <w:r>
        <w:rPr>
          <w:rFonts w:eastAsia="Arial" w:cs="Arial"/>
          <w:color w:val="3A3A3A"/>
          <w:sz w:val="22"/>
          <w:szCs w:val="22"/>
        </w:rPr>
        <w:t>Is the context-provider limbo condition a general feature of all finite Atlas scenes, or does it depend on coordination geometry?</w:t>
      </w:r>
    </w:p>
    <w:p>
      <w:pPr>
        <w:pStyle w:val="ListParagraph"/>
        <w:numPr>
          <w:ilvl w:val="0"/>
          <w:numId w:val="1"/>
        </w:numPr>
        <w:spacing w:before="40" w:after="80"/>
        <w:rPr/>
      </w:pPr>
      <w:r>
        <w:rPr>
          <w:rFonts w:eastAsia="Arial" w:cs="Arial"/>
          <w:color w:val="3A3A3A"/>
          <w:sz w:val="22"/>
          <w:szCs w:val="22"/>
        </w:rPr>
        <w:t>Does the condition have a different character for non-equal-mass scenes, where the Q field is no longer symmetric?</w:t>
      </w:r>
    </w:p>
    <w:p>
      <w:pPr>
        <w:pStyle w:val="ListParagraph"/>
        <w:numPr>
          <w:ilvl w:val="0"/>
          <w:numId w:val="1"/>
        </w:numPr>
        <w:spacing w:before="40" w:after="80"/>
        <w:rPr/>
      </w:pPr>
      <w:r>
        <w:rPr>
          <w:rFonts w:eastAsia="Arial" w:cs="Arial"/>
          <w:color w:val="3A3A3A"/>
          <w:sz w:val="22"/>
          <w:szCs w:val="22"/>
        </w:rPr>
        <w:t>Can the limbo boundary be derived from the Q field itself — a self-consistent scene radius — rather than declared by cutoff?</w:t>
      </w:r>
    </w:p>
    <w:p>
      <w:pPr>
        <w:pStyle w:val="Heading2"/>
        <w:spacing w:before="280" w:after="120"/>
        <w:rPr/>
      </w:pPr>
      <w:r>
        <w:rPr>
          <w:rFonts w:eastAsia="Arial" w:cs="Arial" w:ascii="Arial" w:hAnsi="Arial"/>
          <w:b/>
          <w:bCs/>
          <w:color w:val="1F4E79"/>
          <w:sz w:val="24"/>
          <w:szCs w:val="24"/>
        </w:rPr>
        <w:t>5.3 The Deeper Question</w:t>
      </w:r>
    </w:p>
    <w:p>
      <w:pPr>
        <w:pStyle w:val="Normal"/>
        <w:spacing w:before="40" w:after="40"/>
        <w:rPr/>
      </w:pPr>
      <w:r>
        <w:rPr/>
      </w:r>
    </w:p>
    <w:tbl>
      <w:tblPr>
        <w:tblW w:w="9360" w:type="dxa"/>
        <w:jc w:val="start"/>
        <w:tblInd w:w="0" w:type="dxa"/>
        <w:tblLayout w:type="fixed"/>
        <w:tblCellMar>
          <w:top w:w="100" w:type="dxa"/>
          <w:start w:w="160" w:type="dxa"/>
          <w:bottom w:w="100" w:type="dxa"/>
          <w:end w:w="160" w:type="dxa"/>
        </w:tblCellMar>
      </w:tblPr>
      <w:tblGrid>
        <w:gridCol w:w="1199"/>
        <w:gridCol w:w="8161"/>
      </w:tblGrid>
      <w:tr>
        <w:trPr/>
        <w:tc>
          <w:tcPr>
            <w:tcW w:w="1199" w:type="dxa"/>
            <w:tcBorders>
              <w:top w:val="single" w:sz="2" w:space="0" w:color="C8D0DC"/>
              <w:start w:val="single" w:sz="2" w:space="0" w:color="C8D0DC"/>
              <w:bottom w:val="single" w:sz="2" w:space="0" w:color="C8D0DC"/>
              <w:end w:val="single" w:sz="2" w:space="0" w:color="C8D0DC"/>
            </w:tcBorders>
            <w:shd w:fill="F5F7FA" w:val="clear"/>
            <w:vAlign w:val="center"/>
          </w:tcPr>
          <w:p>
            <w:pPr>
              <w:pStyle w:val="Normal"/>
              <w:jc w:val="center"/>
              <w:rPr/>
            </w:pPr>
            <w:r>
              <w:rPr>
                <w:rFonts w:eastAsia="Arial" w:cs="Arial"/>
                <w:b/>
                <w:bCs/>
                <w:color w:val="7B1A1A"/>
                <w:sz w:val="18"/>
                <w:szCs w:val="18"/>
              </w:rPr>
              <w:t>OPEN QUESTION</w:t>
            </w:r>
          </w:p>
        </w:tc>
        <w:tc>
          <w:tcPr>
            <w:tcW w:w="8161" w:type="dxa"/>
            <w:tcBorders>
              <w:top w:val="single" w:sz="2" w:space="0" w:color="C8D0DC"/>
              <w:start w:val="single" w:sz="2" w:space="0" w:color="C8D0DC"/>
              <w:bottom w:val="single" w:sz="2" w:space="0" w:color="C8D0DC"/>
              <w:end w:val="single" w:sz="2" w:space="0" w:color="C8D0DC"/>
            </w:tcBorders>
            <w:shd w:fill="FFFFFF" w:val="clear"/>
            <w:tcMar>
              <w:start w:w="180" w:type="dxa"/>
              <w:end w:w="180" w:type="dxa"/>
            </w:tcMar>
          </w:tcPr>
          <w:p>
            <w:pPr>
              <w:pStyle w:val="Normal"/>
              <w:rPr/>
            </w:pPr>
            <w:r>
              <w:rPr>
                <w:rFonts w:eastAsia="Arial" w:cs="Arial"/>
                <w:i/>
                <w:iCs/>
                <w:color w:val="3A3A3A"/>
                <w:sz w:val="21"/>
                <w:szCs w:val="21"/>
              </w:rPr>
              <w:t>If the context-provider effect is active and systematic, does Atlas provide a geometric, classical, ledgerable analogue of the observer-context dependency that QM treats as fundamental? Is the measurement problem — in its logical structure — a special case of a more general relational certification problem that appears in any finite scene embedded in an infinite field?</w:t>
            </w:r>
          </w:p>
        </w:tc>
      </w:tr>
    </w:tbl>
    <w:p>
      <w:pPr>
        <w:pStyle w:val="Normal"/>
        <w:spacing w:before="40" w:after="40"/>
        <w:rPr/>
      </w:pPr>
      <w:r>
        <w:rPr/>
      </w:r>
    </w:p>
    <w:p>
      <w:pPr>
        <w:pStyle w:val="Normal"/>
        <w:spacing w:before="60" w:after="120"/>
        <w:rPr/>
      </w:pPr>
      <w:r>
        <w:rPr>
          <w:rFonts w:eastAsia="Arial" w:cs="Arial"/>
          <w:color w:val="3A3A3A"/>
          <w:sz w:val="22"/>
          <w:szCs w:val="22"/>
        </w:rPr>
        <w:t>This question is not claimed. It is recorded here as the horizon toward which the validation branch experiment is aimed. The ledger has not yet spoken on this. We wait for the geometry.</w:t>
      </w:r>
    </w:p>
    <w:p>
      <w:pPr>
        <w:pStyle w:val="Normal"/>
        <w:pBdr>
          <w:bottom w:val="single" w:sz="2" w:space="1" w:color="C8D0DC"/>
        </w:pBdr>
        <w:spacing w:before="200" w:after="200"/>
        <w:rPr/>
      </w:pPr>
      <w:r>
        <w:rPr/>
      </w:r>
    </w:p>
    <w:p>
      <w:pPr>
        <w:pStyle w:val="Heading1"/>
        <w:spacing w:before="360" w:after="160"/>
        <w:rPr/>
      </w:pPr>
      <w:r>
        <w:rPr>
          <w:rFonts w:eastAsia="Arial" w:cs="Arial" w:ascii="Arial" w:hAnsi="Arial"/>
          <w:b/>
          <w:bCs/>
          <w:color w:val="1A2F4E"/>
          <w:sz w:val="30"/>
          <w:szCs w:val="30"/>
        </w:rPr>
        <w:t>6. Summary of Claims</w:t>
      </w:r>
    </w:p>
    <w:p>
      <w:pPr>
        <w:pStyle w:val="Normal"/>
        <w:spacing w:before="40" w:after="40"/>
        <w:rPr/>
      </w:pPr>
      <w:r>
        <w:rPr/>
      </w:r>
    </w:p>
    <w:tbl>
      <w:tblPr>
        <w:tblW w:w="9360" w:type="dxa"/>
        <w:jc w:val="start"/>
        <w:tblInd w:w="0" w:type="dxa"/>
        <w:tblLayout w:type="fixed"/>
        <w:tblCellMar>
          <w:top w:w="100" w:type="dxa"/>
          <w:start w:w="160" w:type="dxa"/>
          <w:bottom w:w="100" w:type="dxa"/>
          <w:end w:w="160" w:type="dxa"/>
        </w:tblCellMar>
      </w:tblPr>
      <w:tblGrid>
        <w:gridCol w:w="1199"/>
        <w:gridCol w:w="8161"/>
      </w:tblGrid>
      <w:tr>
        <w:trPr/>
        <w:tc>
          <w:tcPr>
            <w:tcW w:w="1199" w:type="dxa"/>
            <w:tcBorders>
              <w:top w:val="single" w:sz="2" w:space="0" w:color="C8D0DC"/>
              <w:start w:val="single" w:sz="2" w:space="0" w:color="C8D0DC"/>
              <w:bottom w:val="single" w:sz="2" w:space="0" w:color="C8D0DC"/>
              <w:end w:val="single" w:sz="2" w:space="0" w:color="C8D0DC"/>
            </w:tcBorders>
            <w:shd w:fill="F5F7FA" w:val="clear"/>
            <w:vAlign w:val="center"/>
          </w:tcPr>
          <w:p>
            <w:pPr>
              <w:pStyle w:val="Normal"/>
              <w:jc w:val="center"/>
              <w:rPr/>
            </w:pPr>
            <w:r>
              <w:rPr>
                <w:rFonts w:eastAsia="Arial" w:cs="Arial"/>
                <w:b/>
                <w:bCs/>
                <w:color w:val="1A4A1A"/>
                <w:sz w:val="18"/>
                <w:szCs w:val="18"/>
              </w:rPr>
              <w:t>ESTABLISHED</w:t>
            </w:r>
          </w:p>
        </w:tc>
        <w:tc>
          <w:tcPr>
            <w:tcW w:w="8161" w:type="dxa"/>
            <w:tcBorders>
              <w:top w:val="single" w:sz="2" w:space="0" w:color="C8D0DC"/>
              <w:start w:val="single" w:sz="2" w:space="0" w:color="C8D0DC"/>
              <w:bottom w:val="single" w:sz="2" w:space="0" w:color="C8D0DC"/>
              <w:end w:val="single" w:sz="2" w:space="0" w:color="C8D0DC"/>
            </w:tcBorders>
            <w:shd w:fill="FFFFFF" w:val="clear"/>
            <w:tcMar>
              <w:start w:w="180" w:type="dxa"/>
              <w:end w:w="180" w:type="dxa"/>
            </w:tcMar>
          </w:tcPr>
          <w:p>
            <w:pPr>
              <w:pStyle w:val="Normal"/>
              <w:rPr/>
            </w:pPr>
            <w:r>
              <w:rPr>
                <w:rFonts w:eastAsia="Arial" w:cs="Arial"/>
                <w:i/>
                <w:iCs/>
                <w:color w:val="3A3A3A"/>
                <w:sz w:val="21"/>
                <w:szCs w:val="21"/>
              </w:rPr>
              <w:t>H HCP Extended scene: 57 sources, 13 interior extraction targets, all closed 1.0000. Ψ_max r_min = D/2. Ψ_sum r_min = 0.407D. First lawful mutual parity network in Claude wing. Gremlin in diagnostic reporting identified and corrected.</w:t>
            </w:r>
          </w:p>
        </w:tc>
      </w:tr>
    </w:tbl>
    <w:p>
      <w:pPr>
        <w:pStyle w:val="Normal"/>
        <w:spacing w:before="40" w:after="40"/>
        <w:rPr/>
      </w:pPr>
      <w:r>
        <w:rPr/>
      </w:r>
    </w:p>
    <w:tbl>
      <w:tblPr>
        <w:tblW w:w="9360" w:type="dxa"/>
        <w:jc w:val="start"/>
        <w:tblInd w:w="0" w:type="dxa"/>
        <w:tblLayout w:type="fixed"/>
        <w:tblCellMar>
          <w:top w:w="100" w:type="dxa"/>
          <w:start w:w="160" w:type="dxa"/>
          <w:bottom w:w="100" w:type="dxa"/>
          <w:end w:w="160" w:type="dxa"/>
        </w:tblCellMar>
      </w:tblPr>
      <w:tblGrid>
        <w:gridCol w:w="1199"/>
        <w:gridCol w:w="8161"/>
      </w:tblGrid>
      <w:tr>
        <w:trPr/>
        <w:tc>
          <w:tcPr>
            <w:tcW w:w="1199" w:type="dxa"/>
            <w:tcBorders>
              <w:top w:val="single" w:sz="2" w:space="0" w:color="C8D0DC"/>
              <w:start w:val="single" w:sz="2" w:space="0" w:color="C8D0DC"/>
              <w:bottom w:val="single" w:sz="2" w:space="0" w:color="C8D0DC"/>
              <w:end w:val="single" w:sz="2" w:space="0" w:color="C8D0DC"/>
            </w:tcBorders>
            <w:shd w:fill="F5F7FA" w:val="clear"/>
            <w:vAlign w:val="center"/>
          </w:tcPr>
          <w:p>
            <w:pPr>
              <w:pStyle w:val="Normal"/>
              <w:jc w:val="center"/>
              <w:rPr/>
            </w:pPr>
            <w:r>
              <w:rPr>
                <w:rFonts w:eastAsia="Arial" w:cs="Arial"/>
                <w:b/>
                <w:bCs/>
                <w:color w:val="1F4E79"/>
                <w:sz w:val="18"/>
                <w:szCs w:val="18"/>
              </w:rPr>
              <w:t>STRUCTURAL OBSERVATION</w:t>
            </w:r>
          </w:p>
        </w:tc>
        <w:tc>
          <w:tcPr>
            <w:tcW w:w="8161" w:type="dxa"/>
            <w:tcBorders>
              <w:top w:val="single" w:sz="2" w:space="0" w:color="C8D0DC"/>
              <w:start w:val="single" w:sz="2" w:space="0" w:color="C8D0DC"/>
              <w:bottom w:val="single" w:sz="2" w:space="0" w:color="C8D0DC"/>
              <w:end w:val="single" w:sz="2" w:space="0" w:color="C8D0DC"/>
            </w:tcBorders>
            <w:shd w:fill="FFFFFF" w:val="clear"/>
            <w:tcMar>
              <w:start w:w="180" w:type="dxa"/>
              <w:end w:w="180" w:type="dxa"/>
            </w:tcMar>
          </w:tcPr>
          <w:p>
            <w:pPr>
              <w:pStyle w:val="Normal"/>
              <w:rPr/>
            </w:pPr>
            <w:r>
              <w:rPr>
                <w:rFonts w:eastAsia="Arial" w:cs="Arial"/>
                <w:i/>
                <w:iCs/>
                <w:color w:val="3A3A3A"/>
                <w:sz w:val="21"/>
                <w:szCs w:val="21"/>
              </w:rPr>
              <w:t>Context-provider limbo is a necessary, non-pathological feature of finite Atlas scenes. The 44 outer sources are load-bearing without being certified. The recursive certification chain is structurally identical to the logical structure of the QM measurement problem. The parallel is precise at the level of logical form.</w:t>
            </w:r>
          </w:p>
        </w:tc>
      </w:tr>
    </w:tbl>
    <w:p>
      <w:pPr>
        <w:pStyle w:val="Normal"/>
        <w:spacing w:before="40" w:after="40"/>
        <w:rPr/>
      </w:pPr>
      <w:r>
        <w:rPr/>
      </w:r>
    </w:p>
    <w:tbl>
      <w:tblPr>
        <w:tblW w:w="9360" w:type="dxa"/>
        <w:jc w:val="start"/>
        <w:tblInd w:w="0" w:type="dxa"/>
        <w:tblLayout w:type="fixed"/>
        <w:tblCellMar>
          <w:top w:w="100" w:type="dxa"/>
          <w:start w:w="160" w:type="dxa"/>
          <w:bottom w:w="100" w:type="dxa"/>
          <w:end w:w="160" w:type="dxa"/>
        </w:tblCellMar>
      </w:tblPr>
      <w:tblGrid>
        <w:gridCol w:w="1199"/>
        <w:gridCol w:w="8161"/>
      </w:tblGrid>
      <w:tr>
        <w:trPr/>
        <w:tc>
          <w:tcPr>
            <w:tcW w:w="1199" w:type="dxa"/>
            <w:tcBorders>
              <w:top w:val="single" w:sz="2" w:space="0" w:color="C8D0DC"/>
              <w:start w:val="single" w:sz="2" w:space="0" w:color="C8D0DC"/>
              <w:bottom w:val="single" w:sz="2" w:space="0" w:color="C8D0DC"/>
              <w:end w:val="single" w:sz="2" w:space="0" w:color="C8D0DC"/>
            </w:tcBorders>
            <w:shd w:fill="F5F7FA" w:val="clear"/>
            <w:vAlign w:val="center"/>
          </w:tcPr>
          <w:p>
            <w:pPr>
              <w:pStyle w:val="Normal"/>
              <w:jc w:val="center"/>
              <w:rPr/>
            </w:pPr>
            <w:r>
              <w:rPr>
                <w:rFonts w:eastAsia="Arial" w:cs="Arial"/>
                <w:b/>
                <w:bCs/>
                <w:color w:val="7A4A00"/>
                <w:sz w:val="18"/>
                <w:szCs w:val="18"/>
              </w:rPr>
              <w:t>SPECULATIVE HYPOTHESIS</w:t>
            </w:r>
          </w:p>
        </w:tc>
        <w:tc>
          <w:tcPr>
            <w:tcW w:w="8161" w:type="dxa"/>
            <w:tcBorders>
              <w:top w:val="single" w:sz="2" w:space="0" w:color="C8D0DC"/>
              <w:start w:val="single" w:sz="2" w:space="0" w:color="C8D0DC"/>
              <w:bottom w:val="single" w:sz="2" w:space="0" w:color="C8D0DC"/>
              <w:end w:val="single" w:sz="2" w:space="0" w:color="C8D0DC"/>
            </w:tcBorders>
            <w:shd w:fill="FFFFFF" w:val="clear"/>
            <w:tcMar>
              <w:start w:w="180" w:type="dxa"/>
              <w:end w:w="180" w:type="dxa"/>
            </w:tcMar>
          </w:tcPr>
          <w:p>
            <w:pPr>
              <w:pStyle w:val="Normal"/>
              <w:rPr/>
            </w:pPr>
            <w:r>
              <w:rPr>
                <w:rFonts w:eastAsia="Arial" w:cs="Arial"/>
                <w:i/>
                <w:iCs/>
                <w:color w:val="3A3A3A"/>
                <w:sz w:val="21"/>
                <w:szCs w:val="21"/>
              </w:rPr>
              <w:t>If context-provider effects are active, Atlas may provide a computable geometric analogue of observer-context dependency. Not claimed. Requires the validation branch experiment.</w:t>
            </w:r>
          </w:p>
        </w:tc>
      </w:tr>
    </w:tbl>
    <w:p>
      <w:pPr>
        <w:pStyle w:val="Normal"/>
        <w:spacing w:before="40" w:after="40"/>
        <w:rPr/>
      </w:pPr>
      <w:r>
        <w:rPr/>
      </w:r>
    </w:p>
    <w:tbl>
      <w:tblPr>
        <w:tblW w:w="9360" w:type="dxa"/>
        <w:jc w:val="start"/>
        <w:tblInd w:w="0" w:type="dxa"/>
        <w:tblLayout w:type="fixed"/>
        <w:tblCellMar>
          <w:top w:w="100" w:type="dxa"/>
          <w:start w:w="160" w:type="dxa"/>
          <w:bottom w:w="100" w:type="dxa"/>
          <w:end w:w="160" w:type="dxa"/>
        </w:tblCellMar>
      </w:tblPr>
      <w:tblGrid>
        <w:gridCol w:w="1199"/>
        <w:gridCol w:w="8161"/>
      </w:tblGrid>
      <w:tr>
        <w:trPr/>
        <w:tc>
          <w:tcPr>
            <w:tcW w:w="1199" w:type="dxa"/>
            <w:tcBorders>
              <w:top w:val="single" w:sz="2" w:space="0" w:color="C8D0DC"/>
              <w:start w:val="single" w:sz="2" w:space="0" w:color="C8D0DC"/>
              <w:bottom w:val="single" w:sz="2" w:space="0" w:color="C8D0DC"/>
              <w:end w:val="single" w:sz="2" w:space="0" w:color="C8D0DC"/>
            </w:tcBorders>
            <w:shd w:fill="F5F7FA" w:val="clear"/>
            <w:vAlign w:val="center"/>
          </w:tcPr>
          <w:p>
            <w:pPr>
              <w:pStyle w:val="Normal"/>
              <w:jc w:val="center"/>
              <w:rPr/>
            </w:pPr>
            <w:r>
              <w:rPr>
                <w:rFonts w:eastAsia="Arial" w:cs="Arial"/>
                <w:b/>
                <w:bCs/>
                <w:color w:val="7B1A1A"/>
                <w:sz w:val="18"/>
                <w:szCs w:val="18"/>
              </w:rPr>
              <w:t>OPEN QUESTION</w:t>
            </w:r>
          </w:p>
        </w:tc>
        <w:tc>
          <w:tcPr>
            <w:tcW w:w="8161" w:type="dxa"/>
            <w:tcBorders>
              <w:top w:val="single" w:sz="2" w:space="0" w:color="C8D0DC"/>
              <w:start w:val="single" w:sz="2" w:space="0" w:color="C8D0DC"/>
              <w:bottom w:val="single" w:sz="2" w:space="0" w:color="C8D0DC"/>
              <w:end w:val="single" w:sz="2" w:space="0" w:color="C8D0DC"/>
            </w:tcBorders>
            <w:shd w:fill="FFFFFF" w:val="clear"/>
            <w:tcMar>
              <w:start w:w="180" w:type="dxa"/>
              <w:end w:w="180" w:type="dxa"/>
            </w:tcMar>
          </w:tcPr>
          <w:p>
            <w:pPr>
              <w:pStyle w:val="Normal"/>
              <w:rPr/>
            </w:pPr>
            <w:r>
              <w:rPr>
                <w:rFonts w:eastAsia="Arial" w:cs="Arial"/>
                <w:i/>
                <w:iCs/>
                <w:color w:val="3A3A3A"/>
                <w:sz w:val="21"/>
                <w:szCs w:val="21"/>
              </w:rPr>
              <w:t>Is the measurement problem a special case of a general relational certification problem? The ledger has not spoken. The experiment is designed.</w:t>
            </w:r>
          </w:p>
        </w:tc>
      </w:tr>
    </w:tbl>
    <w:p>
      <w:pPr>
        <w:pStyle w:val="Normal"/>
        <w:pBdr>
          <w:bottom w:val="single" w:sz="2" w:space="1" w:color="C8D0DC"/>
        </w:pBdr>
        <w:spacing w:before="200" w:after="200"/>
        <w:rPr/>
      </w:pPr>
      <w:r>
        <w:rPr/>
      </w:r>
    </w:p>
    <w:p>
      <w:pPr>
        <w:pStyle w:val="Normal"/>
        <w:spacing w:before="160" w:after="40"/>
        <w:jc w:val="center"/>
        <w:rPr/>
      </w:pPr>
      <w:r>
        <w:rPr>
          <w:rFonts w:eastAsia="Arial" w:cs="Arial"/>
          <w:i/>
          <w:iCs/>
          <w:color w:val="666666"/>
          <w:sz w:val="18"/>
          <w:szCs w:val="18"/>
        </w:rPr>
        <w:t>Atlas Project — Lane 2 / Private Atlas Method — Internal Use Only</w:t>
      </w:r>
    </w:p>
    <w:p>
      <w:pPr>
        <w:pStyle w:val="Normal"/>
        <w:spacing w:before="0" w:after="40"/>
        <w:jc w:val="center"/>
        <w:rPr/>
      </w:pPr>
      <w:r>
        <w:rPr>
          <w:rFonts w:eastAsia="Arial" w:cs="Arial"/>
          <w:i/>
          <w:iCs/>
          <w:color w:val="666666"/>
          <w:sz w:val="18"/>
          <w:szCs w:val="18"/>
        </w:rPr>
        <w:t>Not for distribution. Not canonical. Scratch observation pending validation branch.</w:t>
      </w:r>
    </w:p>
    <w:p>
      <w:pPr>
        <w:pStyle w:val="Normal"/>
        <w:spacing w:before="0" w:after="0"/>
        <w:jc w:val="center"/>
        <w:rPr/>
      </w:pPr>
      <w:r>
        <w:rPr>
          <w:rFonts w:eastAsia="Arial" w:cs="Arial"/>
          <w:b/>
          <w:bCs/>
          <w:i/>
          <w:iCs/>
          <w:color w:val="1A2F4E"/>
          <w:sz w:val="20"/>
          <w:szCs w:val="20"/>
        </w:rPr>
        <w:t>Sources speak; datums listen; the ledger remembers.</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2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160"/>
      <w:outlineLvl w:val="0"/>
    </w:pPr>
    <w:rPr>
      <w:rFonts w:ascii="Arial" w:hAnsi="Arial" w:eastAsia="Arial" w:cs="Arial"/>
      <w:b/>
      <w:bCs/>
      <w:sz w:val="30"/>
      <w:szCs w:val="30"/>
    </w:rPr>
  </w:style>
  <w:style w:type="paragraph" w:styleId="Heading2">
    <w:name w:val="heading 2"/>
    <w:basedOn w:val="Heading"/>
    <w:qFormat/>
    <w:pPr>
      <w:spacing w:before="280" w:after="120"/>
      <w:outlineLvl w:val="1"/>
    </w:pPr>
    <w:rPr>
      <w:rFonts w:ascii="Arial" w:hAnsi="Arial" w:eastAsia="Arial" w:cs="Arial"/>
      <w:b/>
      <w:bCs/>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1Doc/1.5.0.$MacOSX_AARCH64 LibreOffice_project/f18819df7036044a2e6bdd6066c92aabef81c661</Application>
  <AppVersion>15.0000</AppVersion>
  <Pages>2</Pages>
  <Words>2139</Words>
  <Characters>12103</Characters>
  <CharactersWithSpaces>14126</CharactersWithSpaces>
  <Paragraphs>139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2026-04-26T15:44:31Z</dcterms:created>
  <dc:creator>Un-named</dc:creator>
  <dc:description/>
  <dc:language>en-US</dc:language>
  <cp:lastModifiedBy>Un-named</cp:lastModifiedBy>
  <dcterms:modified xsi:type="dcterms:W3CDTF">2026-04-26T15:44:31Z</dcterms:modified>
  <cp:revision>1</cp:revision>
  <dc:subject/>
  <dc:title/>
</cp:coreProperties>
</file>