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Relational Commons in Multi-Source Gravitational Scenes</w:t>
      </w:r>
    </w:p>
    <w:p>
      <w:pPr>
        <w:pStyle w:val="Subtitle"/>
        <w:jc w:val="center"/>
      </w:pPr>
      <w:r>
        <w:t>Persistent Tidal-Amplitude Troughs, High-Entropy Connectivity, and Source-Carrier Custody</w:t>
      </w:r>
    </w:p>
    <w:p>
      <w:pPr>
        <w:jc w:val="center"/>
      </w:pPr>
      <w:r>
        <w:rPr>
          <w:sz w:val="20"/>
        </w:rPr>
        <w:t>Daniel Scieszinski</w:t>
      </w:r>
    </w:p>
    <w:p>
      <w:pPr>
        <w:jc w:val="center"/>
      </w:pPr>
      <w:r>
        <w:rPr>
          <w:sz w:val="20"/>
        </w:rPr>
        <w:t>Relational Labs</w:t>
      </w:r>
    </w:p>
    <w:p>
      <w:pPr>
        <w:jc w:val="center"/>
      </w:pPr>
      <w:r>
        <w:t>Internal Research White Paper v0.4 · July 2026</w:t>
      </w:r>
    </w:p>
    <w:p>
      <w:pPr>
        <w:jc w:val="center"/>
      </w:pPr>
      <w:r>
        <w:t>Claim status: Accepted Internal Stabilized Class Result</w:t>
      </w:r>
    </w:p>
    <w:p>
      <w:pPr>
        <w:jc w:val="center"/>
      </w:pPr>
      <w:r>
        <w:rPr>
          <w:sz w:val="20"/>
        </w:rPr>
        <w:t>Physical regime: Static, time-symmetric Brill-Lindquist initial data</w:t>
      </w:r>
    </w:p>
    <w:p>
      <w:pPr>
        <w:jc w:val="center"/>
      </w:pPr>
      <w:r>
        <w:rPr>
          <w:sz w:val="20"/>
        </w:rPr>
        <w:t>Primary witness: Electric Weyl tensor E_ij</w:t>
      </w:r>
    </w:p>
    <w:p>
      <w:pPr>
        <w:jc w:val="center"/>
      </w:pPr>
      <w:r>
        <w:rPr>
          <w:sz w:val="20"/>
        </w:rPr>
        <w:t>Primary scene: LSN-66 frozen 66-source roster</w:t>
      </w:r>
    </w:p>
    <w:p>
      <w:pPr>
        <w:jc w:val="center"/>
      </w:pPr>
      <w:r>
        <w:rPr>
          <w:sz w:val="20"/>
        </w:rPr>
        <w:t>Parent-context limitation: Λ_Π uncalibrated</w:t>
      </w:r>
    </w:p>
    <w:p/>
    <w:p>
      <w:pPr>
        <w:pStyle w:val="Heading1"/>
      </w:pPr>
      <w:r>
        <w:t>Abstract</w:t>
      </w:r>
    </w:p>
    <w:p>
      <w:r>
        <w:t>A solved multi-source gravitational scene may contain relational structure that is not apparent from source-centered interrogation, bulk mass summaries, or simple source-dominance partitions. This paper reports the first stabilized class-level result of the Relational Commons program, a diagnostic investigation of the interstitial regions of fused static Brill-Lindquist many-source scenes.</w:t>
      </w:r>
    </w:p>
    <w:p>
      <w:r>
        <w:t>The primary gravitational witness is the trace-free electric part of the Weyl tensor, E_ij. Source-conditioned relational signatures are generated through one-at-a-time source ablation with re-solution of the comparison scene. For source s, the registered ablation response is Δ_s E_ij = E_ij^(full) − Ē_ij^(−s), and the default direction-agnostic signature amplitude is S_s = ||Δ_s E||_F. The Commons search uses a declared volume-filling lattice rather than the source-associated radial datum used for source-centered GCS extraction.</w:t>
      </w:r>
    </w:p>
    <w:p>
      <w:r>
        <w:t>In the frozen LSN-66 scene, nine candidate locations were identified where local minima of the full-scene tidal amplitude ||E||_F coincide with high normalized source-attribution entropy. Eight survive spatial refinement and a six-member family of controlled source-roster perturbations and remain classified as Reproduced within the declared LSN-66 roster family. A ninth candidate fails independently under resolution, roster perturbation, exterior-context forcing, and carrier-persistence analysis and is retained as a fragile internal canary.</w:t>
      </w:r>
    </w:p>
    <w:p>
      <w:r>
        <w:t>The stronger result now lies above those named instances. An explicit within-scene occurrence null shows that disputed tidal-amplitude minima are enriched relative to source-distance-matched random volume placement: the LSN-66 scene contains 9 disputed members among 36 refined minima, while only 3 of 1000 matched random draws reach that count. A second structure-scrambled ensemble, preserving the source-mass list, collapsed-system memberships, and radial mass profile while destroying angular arrangement, produces disputed troughs in all 20 realizations. The phenomenon also recurs across nested source-count families at N = 24, 48, and 66, while a compact N = 5 family produces none. Together with prior resolution, roster-perturbation, and carrier-persistence results, this supports a Stabilized class-level claim within the declared Brill-Lindquist many-source test family.</w:t>
      </w:r>
    </w:p>
    <w:p>
      <w:r>
        <w:t>At normalized attribution entropy H ≥ 0.85, the LSN-66 disputed region also forms a dominant connected backbone that exceeds all 20 occupancy- and correlation-matched Gaussian percolation nulls tested. No connectivity claim is promoted below H = 0.85. This connectivity result remains specific to the declared null and is not itself the basis of the class-level stabilization.</w:t>
      </w:r>
    </w:p>
    <w:p>
      <w:r>
        <w:t>A separate carrier-persistence experiment establishes that the eight reproduced LSN-66 troughs preserve not only their locations but also their source-participation architecture under the tested roster-internal perturbations. Carrier-set Jaccard overlap remains between 0.87 and 1.00, median overlap is 1.00 for all eight troughs, source-amplitude rank correlations remain at or above 0.999, and the named carrier set at the primary trough persists across every tested internal-family variant. Under imposed exterior context, however, source participation can reorganize before the associated trough disappears.</w:t>
      </w:r>
    </w:p>
    <w:p>
      <w:r>
        <w:t>These results motivate a three-way diagnostic distinction: object persistence ≠ carrier persistence ≠ carrier renegotiation. The first two are reproduced for the named LSN-66 instances; the broader Commons-class phenomenon is stabilized within the declared BL many-source family; and carrier renegotiation remains observed in the controlled exterior-context lane.</w:t>
      </w:r>
    </w:p>
    <w:p>
      <w:r>
        <w:rPr>
          <w:b/>
        </w:rPr>
        <w:t xml:space="preserve">Keywords: </w:t>
      </w:r>
      <w:r>
        <w:t>general relativity; electric Weyl tensor; tensor ablation; Frobenius norm; attribution entropy; gravitational coherence surface; multi-source gravity; relational Commons; source-conditioned signature; carrier persistence; parent context.</w:t>
      </w:r>
    </w:p>
    <w:p>
      <w:pPr>
        <w:pStyle w:val="Heading1"/>
      </w:pPr>
      <w:r>
        <w:t>1. Introduction</w:t>
      </w:r>
    </w:p>
    <w:p>
      <w:r>
        <w:t>General relativity supplies one gravitational geometry for a solved scene. It does not ordinarily label separate parcels of that geometry as belonging to individual sources. Finite sources can nevertheless be interrogated operationally.</w:t>
      </w:r>
    </w:p>
    <w:p>
      <w:r>
        <w:t>A source can be removed from a declared roster. The resulting comparison scene can be solved again. The full and ablated geometries can be registered onto a common support. The difference between their tensor fields then records how the entire solved scene responds to the presence of the removed source.</w:t>
      </w:r>
    </w:p>
    <w:p>
      <w:pPr>
        <w:pStyle w:val="Equation"/>
      </w:pPr>
      <w:r>
        <w:t>Δ_s E_ij = E_ij^(full) − Ē_ij^(−s)</w:t>
      </w:r>
    </w:p>
    <w:p>
      <w:r>
        <w:t>The tensor Δ_sE_ij is not interpreted as a privately owned field component of source s. It is a registered whole-scene response that includes altered nonlinear couplings. The Frobenius amplitude S_s = ||Δ_sE||_F provides the default direction-agnostic scalar read.</w:t>
      </w:r>
    </w:p>
    <w:p>
      <w:r>
        <w:t>Earlier work uses these source-conditioned responses to construct source-context parity surfaces, source-source dominance networks, margins, seams, nodes, and fixed-skeleton complex differences. The Commons program began when attention shifted away from those source-centered objects and toward the regions between them.</w:t>
      </w:r>
    </w:p>
    <w:p>
      <w:r>
        <w:t>The motivating question was simple: Does the interstitial region of a dense multi-source gravitational scene possess reproducible diagnostic structure of its own?</w:t>
      </w:r>
    </w:p>
    <w:p>
      <w:r>
        <w:t>The answer from the present experiment is yes, within a carefully bounded claim. The LSN-66 scene contains local minima of the full-scene electric-Weyl Frobenius amplitude that coincide with high ambiguity in source-conditioned attribution. Eight such structures survive controlled resolution and roster perturbations. At sufficiently selective attribution entropy, the disputed region forms a connected backbone whose dominant-component share exceeds the immediate correlation- and occupancy-matched percolation null. The reproduced troughs also retain highly stable source-participation rosters.</w:t>
      </w:r>
    </w:p>
    <w:p>
      <w:r>
        <w:t>A controlled exterior-context experiment then reveals another layer. The attribution roster can reorganize before the corresponding trough disappears.</w:t>
      </w:r>
    </w:p>
    <w:p>
      <w:pPr>
        <w:pStyle w:val="Equation"/>
      </w:pPr>
      <w:r>
        <w:t>object persistence ≠ carrier persistence ≠ carrier renegotiation</w:t>
      </w:r>
    </w:p>
    <w:p>
      <w:r>
        <w:t>Relational Labs uses the term Commons for the combined phenomenology. The name is interpretive house vocabulary. It does not denote a new physical substance, domain, ownership regime, or partition of spacetime. The field remains seamless. The relational bookkeeping has structure.</w:t>
      </w:r>
    </w:p>
    <w:p>
      <w:pPr>
        <w:pStyle w:val="Heading1"/>
      </w:pPr>
      <w:r>
        <w:t>2. Scope and non-claims</w:t>
      </w:r>
    </w:p>
    <w:p>
      <w:r>
        <w:t>This paper reports diagnostic results within standard general relativity and one declared static initial-data family.</w:t>
      </w:r>
    </w:p>
    <w:p>
      <w:pPr>
        <w:pStyle w:val="ListBullet"/>
      </w:pPr>
      <w:r>
        <w:t>No modification of the Einstein field equations is proposed.</w:t>
      </w:r>
    </w:p>
    <w:p>
      <w:pPr>
        <w:pStyle w:val="ListBullet"/>
      </w:pPr>
      <w:r>
        <w:t>No new force, field, physical source, material membrane, causal horizon, or trapping horizon is proposed.</w:t>
      </w:r>
    </w:p>
    <w:p>
      <w:pPr>
        <w:pStyle w:val="ListBullet"/>
      </w:pPr>
      <w:r>
        <w:t>No physical ownership of curvature is assigned to individual sources.</w:t>
      </w:r>
    </w:p>
    <w:p>
      <w:pPr>
        <w:pStyle w:val="ListBullet"/>
      </w:pPr>
      <w:r>
        <w:t>No conserved Commons quantity or dynamical balance law is claimed.</w:t>
      </w:r>
    </w:p>
    <w:p>
      <w:pPr>
        <w:pStyle w:val="ListBullet"/>
      </w:pPr>
      <w:r>
        <w:t>No universal source-attribution rule or universal entropy threshold is claimed.</w:t>
      </w:r>
    </w:p>
    <w:p>
      <w:pPr>
        <w:pStyle w:val="ListBullet"/>
      </w:pPr>
      <w:r>
        <w:t>No phase transition at H = 0.85 is claimed.</w:t>
      </w:r>
    </w:p>
    <w:p>
      <w:pPr>
        <w:pStyle w:val="ListBullet"/>
      </w:pPr>
      <w:r>
        <w:t>No universal connected backbone is claimed.</w:t>
      </w:r>
    </w:p>
    <w:p>
      <w:pPr>
        <w:pStyle w:val="ListBullet"/>
      </w:pPr>
      <w:r>
        <w:t>No persistence under the actual unresolved exterior universe is claimed.</w:t>
      </w:r>
    </w:p>
    <w:p>
      <w:r>
        <w:t>The promoted results are narrower:</w:t>
      </w:r>
    </w:p>
    <w:p>
      <w:pPr>
        <w:pStyle w:val="ListBullet"/>
      </w:pPr>
      <w:r>
        <w:t>Eight high-attribution-entropy tidal-amplitude troughs reproduce under the declared resolution and roster-perturbation family.</w:t>
      </w:r>
    </w:p>
    <w:p>
      <w:pPr>
        <w:pStyle w:val="ListBullet"/>
      </w:pPr>
      <w:r>
        <w:t>One candidate repeatedly fails and is retained as a fragile canary.</w:t>
      </w:r>
    </w:p>
    <w:p>
      <w:pPr>
        <w:pStyle w:val="ListBullet"/>
      </w:pPr>
      <w:r>
        <w:t>At H ≥ 0.85, the dominant high-entropy connected component exceeds all 20 occupancy- and correlation-matched Gaussian nulls tested.</w:t>
      </w:r>
    </w:p>
    <w:p>
      <w:pPr>
        <w:pStyle w:val="ListBullet"/>
      </w:pPr>
      <w:r>
        <w:t>No connectivity claim is promoted below H = 0.85.</w:t>
      </w:r>
    </w:p>
    <w:p>
      <w:pPr>
        <w:pStyle w:val="ListBullet"/>
      </w:pPr>
      <w:r>
        <w:t>The eight reproduced troughs retain highly stable source-carrier architecture under internal-family perturbations.</w:t>
      </w:r>
    </w:p>
    <w:p>
      <w:pPr>
        <w:pStyle w:val="ListBullet"/>
      </w:pPr>
      <w:r>
        <w:t>Controlled exterior forcing can reorganize carrier participation before a trough disappears.</w:t>
      </w:r>
    </w:p>
    <w:p>
      <w:pPr>
        <w:pStyle w:val="Heading1"/>
      </w:pPr>
      <w:r>
        <w:t>3. Physical and computational substrate</w:t>
      </w:r>
    </w:p>
    <w:p>
      <w:pPr>
        <w:pStyle w:val="Heading2"/>
      </w:pPr>
      <w:r>
        <w:t>3.1 Frozen scene</w:t>
      </w:r>
    </w:p>
    <w:p>
      <w:r>
        <w:t>The principal experiment uses the frozen LSN-66 source roster, stored in `BL_FOAM_BAKED_001/gaia66_roster.json`. The roster contains 66 declared sources and remains fixed as the base object against which resolution, roster perturbation, carrier persistence, and exterior-context sensitivity are tested.</w:t>
      </w:r>
    </w:p>
    <w:p>
      <w:pPr>
        <w:pStyle w:val="Heading2"/>
      </w:pPr>
      <w:r>
        <w:t>3.2 Static fused initial-data lane</w:t>
      </w:r>
    </w:p>
    <w:p>
      <w:r>
        <w:t>The physical construction is time-symmetric Brill-Lindquist initial data:</w:t>
      </w:r>
    </w:p>
    <w:p>
      <w:pPr>
        <w:pStyle w:val="Equation"/>
      </w:pPr>
      <w:r>
        <w:t>ψ = 1 + Σ_a m_a / (2 r_a)</w:t>
      </w:r>
    </w:p>
    <w:p>
      <w:pPr>
        <w:pStyle w:val="Equation"/>
      </w:pPr>
      <w:r>
        <w:t>γ_ij = ψ^4 δ_ij</w:t>
      </w:r>
    </w:p>
    <w:p>
      <w:pPr>
        <w:pStyle w:val="Equation"/>
      </w:pPr>
      <w:r>
        <w:t>K_ij = 0</w:t>
      </w:r>
    </w:p>
    <w:p>
      <w:r>
        <w:t>Away from punctures, the vacuum Hamiltonian constraint is satisfied. Although the conformal factor contains a linear sum of source terms, the physical spatial metric and resulting curvature depend nonlinearly on the combined ψ. The electric-Weyl field of the fused scene is therefore not treated as a sum of independently solved source curvature fields.</w:t>
      </w:r>
    </w:p>
    <w:p>
      <w:r>
        <w:t>The present lane is cross-term aware within this exact static construction. It does not represent moving matter, radiation, magnetic-Weyl evolution, or a dynamically evolved spacetime.</w:t>
      </w:r>
    </w:p>
    <w:p>
      <w:pPr>
        <w:pStyle w:val="Heading2"/>
      </w:pPr>
      <w:r>
        <w:t>3.3 Primary witness</w:t>
      </w:r>
    </w:p>
    <w:p>
      <w:r>
        <w:t>The principal witness is the electric part of the Weyl tensor:</w:t>
      </w:r>
    </w:p>
    <w:p>
      <w:pPr>
        <w:pStyle w:val="Equation"/>
      </w:pPr>
      <w:r>
        <w:t>E_μν = C_μανβ n^α n^β</w:t>
      </w:r>
    </w:p>
    <w:p>
      <w:r>
        <w:t>The full-scene direction-agnostic tidal amplitude is</w:t>
      </w:r>
    </w:p>
    <w:p>
      <w:pPr>
        <w:pStyle w:val="Equation"/>
      </w:pPr>
      <w:r>
        <w:t>T(x) = ||E^(full)(x)||_F</w:t>
      </w:r>
    </w:p>
    <w:p>
      <w:r>
        <w:t>The term tidal-amplitude trough denotes a local minimum of T(x). The laboratory shorthand cancellation trough may be used descriptively, but low Frobenius amplitude alone does not prove a unique cancellation mechanism. Tensor components, invariant channels, or eigenstructure are required for stronger mechanistic attribution.</w:t>
      </w:r>
    </w:p>
    <w:p>
      <w:pPr>
        <w:pStyle w:val="Heading1"/>
      </w:pPr>
      <w:r>
        <w:t>4. Source-conditioned comparison channels</w:t>
      </w:r>
    </w:p>
    <w:p>
      <w:r>
        <w:t>For each declared source s, let E_ij^(full)(x) denote the electric-Weyl tensor of the full fused scene and Ē_ij^(−s)(x) the registered electric-Weyl tensor of the matched scene in which source s has been ablated and the scene re-solved.</w:t>
      </w:r>
    </w:p>
    <w:p>
      <w:pPr>
        <w:pStyle w:val="Equation"/>
      </w:pPr>
      <w:r>
        <w:t>Δ_s E_ij(x) = E_ij^(full)(x) − Ē_ij^(−s)(x)</w:t>
      </w:r>
    </w:p>
    <w:p>
      <w:r>
        <w:t>Under the declared coordinate-chart Frobenius contraction, define</w:t>
      </w:r>
    </w:p>
    <w:p>
      <w:pPr>
        <w:pStyle w:val="Equation"/>
      </w:pPr>
      <w:r>
        <w:t>S_s(x) = ||Δ_s E(x)||_F</w:t>
      </w:r>
    </w:p>
    <w:p>
      <w:pPr>
        <w:pStyle w:val="Equation"/>
      </w:pPr>
      <w:r>
        <w:t>C_s(x) = ||Ē^(−s)(x)||_F</w:t>
      </w:r>
    </w:p>
    <w:p>
      <w:r>
        <w:t>The source-context response ratio is</w:t>
      </w:r>
    </w:p>
    <w:p>
      <w:pPr>
        <w:pStyle w:val="Equation"/>
      </w:pPr>
      <w:r>
        <w:t>ρ_s(x) = S_s(x) / C_s(x)</w:t>
      </w:r>
    </w:p>
    <w:p>
      <w:r>
        <w:t>The corresponding FN parity condition is</w:t>
      </w:r>
    </w:p>
    <w:p>
      <w:pPr>
        <w:pStyle w:val="Equation"/>
      </w:pPr>
      <w:r>
        <w:t>ρ_s(x) = 1</w:t>
      </w:r>
    </w:p>
    <w:p>
      <w:r>
        <w:t>Equivalently, one may use the dimensional residual F_s = S_s − C_s or a dimensionless ratio residual Ψ_s = ρ_s − 1. These have the same zero set wherever C_s &gt; 0, but different numerical scales. Any reported value of Ψ_s must therefore declare which convention is used.</w:t>
      </w:r>
    </w:p>
    <w:p>
      <w:r>
        <w:t>The Commons carrier analysis adopts the declared threshold</w:t>
      </w:r>
    </w:p>
    <w:p>
      <w:pPr>
        <w:pStyle w:val="Equation"/>
      </w:pPr>
      <w:r>
        <w:t>ρ_s &gt; 0.5</w:t>
      </w:r>
    </w:p>
    <w:p>
      <w:r>
        <w:t>A source satisfying this inequality is termed a carrier at the interrogated location. This threshold does not mean that the source owns half of the local gravitational field. It means only that the Frobenius amplitude of the registered scene response associated with source s exceeds one half of the Frobenius amplitude of its matched re-solved ablated context under the declared comparison convention.</w:t>
      </w:r>
    </w:p>
    <w:p>
      <w:r>
        <w:t>Because each source has its own ablated comparator C_s, multiple sources may simultaneously satisfy ρ_s &gt; 0.5. Carrier membership is therefore not a probability partition and the ρ_s values do not sum to unity.</w:t>
      </w:r>
    </w:p>
    <w:p>
      <w:r>
        <w:t>The present Commons implementation uses the declared coordinate-chart Frobenius contraction employed by the frozen Atlas network payload. This convention is reproducible but not claimed to be registration- or frame-independent. A physical orthonormal-frame comparison remains the stronger future public target.</w:t>
      </w:r>
    </w:p>
    <w:p>
      <w:pPr>
        <w:pStyle w:val="Heading1"/>
      </w:pPr>
      <w:r>
        <w:t>5. Attribution entropy</w:t>
      </w:r>
    </w:p>
    <w:p>
      <w:r>
        <w:t>Carrier ratios and attribution-entropy weights answer different questions.</w:t>
      </w:r>
    </w:p>
    <w:p>
      <w:r>
        <w:t>Define the amplitude-normalized attribution weights</w:t>
      </w:r>
    </w:p>
    <w:p>
      <w:pPr>
        <w:pStyle w:val="Equation"/>
      </w:pPr>
      <w:r>
        <w:t>p_s(x) = S_s(x) / Σ_k S_k(x)</w:t>
      </w:r>
    </w:p>
    <w:p>
      <w:r>
        <w:t>By construction, p_s ≥ 0 and Σ_s p_s = 1.</w:t>
      </w:r>
    </w:p>
    <w:p>
      <w:r>
        <w:t>Define the raw Shannon attribution entropy</w:t>
      </w:r>
    </w:p>
    <w:p>
      <w:pPr>
        <w:pStyle w:val="Equation"/>
      </w:pPr>
      <w:r>
        <w:t>ℋ(x) = − Σ_s p_s(x) ln p_s(x)</w:t>
      </w:r>
    </w:p>
    <w:p>
      <w:r>
        <w:t>For N equally weighted active sources, ℋ_max = ln N. The normalized attribution entropy is</w:t>
      </w:r>
    </w:p>
    <w:p>
      <w:pPr>
        <w:pStyle w:val="Equation"/>
      </w:pPr>
      <w:r>
        <w:t>H(x) = ℋ(x) / ln N = − [1 / ln N] Σ_s p_s(x) ln p_s(x)</w:t>
      </w:r>
    </w:p>
    <w:p>
      <w:r>
        <w:t>Thus 0 ≤ H ≤ 1.</w:t>
      </w:r>
    </w:p>
    <w:p>
      <w:r>
        <w:t>The notation should remain fixed throughout the paper: ρ_s is the source-context response ratio; p_s is the roster-normalized attribution weight; ℋ is raw attribution entropy; and H is normalized attribution entropy.</w:t>
      </w:r>
    </w:p>
    <w:p>
      <w:pPr>
        <w:pStyle w:val="Equation"/>
      </w:pPr>
      <w:r>
        <w:t>ρ_s ≠ p_s</w:t>
      </w:r>
    </w:p>
    <w:p>
      <w:r>
        <w:t>The former compares one source-conditioned response to its own matched ablated-scene context. The latter compares that source-conditioned response to the total amplitude of the complete ablation-response roster.</w:t>
      </w:r>
    </w:p>
    <w:p>
      <w:r>
        <w:t>This distinction explains how a Commons trough can simultaneously exhibit many sources satisfying ρ_s &gt; 0.5, a broadly distributed p_s roster, and high normalized entropy H. The trough is therefore not merely a location where one source is weak. It is a location where the full-scene tidal amplitude is low while many source-conditioned scene responses remain relationally significant.</w:t>
      </w:r>
    </w:p>
    <w:p>
      <w:pPr>
        <w:pStyle w:val="Heading1"/>
      </w:pPr>
      <w:r>
        <w:t>6. Commons-native interrogation</w:t>
      </w:r>
    </w:p>
    <w:p>
      <w:r>
        <w:t>The original Atlas/GCS instrument emphasizes source-associated and omni-radial interrogation. That primitive is well suited to source-centered objects such as GCS shells, directional root inventories, and source-linked parity geometry. It can be structurally blind to interstitial objects that are not naturally centered on any declared source.</w:t>
      </w:r>
    </w:p>
    <w:p>
      <w:r>
        <w:t>The Commons search therefore adopts a second interrogation primitive: a declared volume-filling lattice.</w:t>
      </w:r>
    </w:p>
    <w:p>
      <w:r>
        <w:t>This motivates a dual-primitive discipline. Source-associated datums interrogate source-centered geometry. Volume-filling datums interrogate the space between source-centered structures. Neither datum creates the field structure it detects.</w:t>
      </w:r>
    </w:p>
    <w:p>
      <w:r>
        <w:t>The methodological lesson is general: a datum skeleton can be lawful and still be blind to a class of objects that does not share its assumed geometry.</w:t>
      </w:r>
    </w:p>
    <w:p>
      <w:pPr>
        <w:pStyle w:val="Heading1"/>
      </w:pPr>
      <w:r>
        <w:t>7. Formal Commons object classes</w:t>
      </w:r>
    </w:p>
    <w:p>
      <w:pPr>
        <w:pStyle w:val="Heading2"/>
      </w:pPr>
      <w:r>
        <w:t>7.1 Tidal-amplitude trough</w:t>
      </w:r>
    </w:p>
    <w:p>
      <w:r>
        <w:t>A point x* is a candidate tidal-amplitude trough when it is a local minimum of</w:t>
      </w:r>
    </w:p>
    <w:p>
      <w:pPr>
        <w:pStyle w:val="Equation"/>
      </w:pPr>
      <w:r>
        <w:t>T(x) = ||E^(full)(x)||_F</w:t>
      </w:r>
    </w:p>
    <w:p>
      <w:r>
        <w:t>under the declared volume-filling interrogation.</w:t>
      </w:r>
    </w:p>
    <w:p>
      <w:r>
        <w:t>A trough becomes a disputed trough candidate when it additionally satisfies</w:t>
      </w:r>
    </w:p>
    <w:p>
      <w:pPr>
        <w:pStyle w:val="Equation"/>
      </w:pPr>
      <w:r>
        <w:t>H(x*) ≥ H_census</w:t>
      </w:r>
    </w:p>
    <w:p>
      <w:r>
        <w:t>with baseline census threshold H_census = 0.75. The threshold is a declared selection rule, not a physical constant.</w:t>
      </w:r>
    </w:p>
    <w:p>
      <w:pPr>
        <w:pStyle w:val="Heading2"/>
      </w:pPr>
      <w:r>
        <w:t>7.2 Carrier set</w:t>
      </w:r>
    </w:p>
    <w:p>
      <w:pPr>
        <w:pStyle w:val="Equation"/>
      </w:pPr>
      <w:r>
        <w:t>C(x*) = { s : ρ_s(x*) &gt; 0.5 }</w:t>
      </w:r>
    </w:p>
    <w:p>
      <w:r>
        <w:t>This is the declared carrier set.</w:t>
      </w:r>
    </w:p>
    <w:p>
      <w:pPr>
        <w:pStyle w:val="Heading2"/>
      </w:pPr>
      <w:r>
        <w:t>7.3 High-entropy disputed region</w:t>
      </w:r>
    </w:p>
    <w:p>
      <w:pPr>
        <w:pStyle w:val="Equation"/>
      </w:pPr>
      <w:r>
        <w:t>D_h = { x : H(x) ≥ h }</w:t>
      </w:r>
    </w:p>
    <w:p>
      <w:r>
        <w:t>Connectivity results reported in this paper concern connected components of D_h on the declared volume-filling lattice.</w:t>
      </w:r>
    </w:p>
    <w:p>
      <w:pPr>
        <w:pStyle w:val="Heading2"/>
      </w:pPr>
      <w:r>
        <w:t>7.4 Commons backbone</w:t>
      </w:r>
    </w:p>
    <w:p>
      <w:r>
        <w:t>Let K_max(D_h) denote the largest connected component of D_h. Define its component share</w:t>
      </w:r>
    </w:p>
    <w:p>
      <w:pPr>
        <w:pStyle w:val="Equation"/>
      </w:pPr>
      <w:r>
        <w:t>B(h) = |K_max(D_h)| / |D_h|</w:t>
      </w:r>
    </w:p>
    <w:p>
      <w:r>
        <w:t>The promoted Commons-backbone claim concerns B(0.85) ≈ 0.867 and B(0.88) ≈ 0.883 relative to the declared occupancy- and correlation-matched null family. A large value of B(h) alone does not establish nontrivial structure. The comparison to the matched null is part of the claim.</w:t>
      </w:r>
    </w:p>
    <w:p>
      <w:pPr>
        <w:pStyle w:val="Heading1"/>
      </w:pPr>
      <w:r>
        <w:t>8. Initial trough census</w:t>
      </w:r>
    </w:p>
    <w:p>
      <w:r>
        <w:t>The baseline Commons survey searched for local minima of T(x) = ||E^(full)(x)||_F subject to H(x) ≥ 0.75. Nine candidate troughs were identified.</w:t>
      </w:r>
    </w:p>
    <w:p>
      <w:r>
        <w:t>The deepest recovered the independently interrogated Lalande-region feature to within approximately 0.54 scene units. At that trough, ||E||_F ≈ 4.4 × 10^−16 and H = 0.819. Thirteen sources satisfied the declared carrier criterion ρ_s &gt; 0.5.</w:t>
      </w:r>
    </w:p>
    <w:p>
      <w:r>
        <w:t>The feature therefore combined two properties: unusually low full-scene electric-Weyl Frobenius amplitude and simultaneously distributed source-conditioned attribution.</w:t>
      </w:r>
    </w:p>
    <w:p>
      <w:r>
        <w:t>The conjunction is central. A low-amplitude point alone is not a Commons result. A high-entropy point alone is not a Commons result. The candidate object is the coexistence of tidal quiet and relational crowding.</w:t>
      </w:r>
    </w:p>
    <w:p>
      <w:pPr>
        <w:pStyle w:val="Heading1"/>
      </w:pPr>
      <w:r>
        <w:t>9. Persistence experiment</w:t>
      </w:r>
    </w:p>
    <w:p>
      <w:pPr>
        <w:pStyle w:val="Heading2"/>
      </w:pPr>
      <w:r>
        <w:t>9.1 Spatial refinement</w:t>
      </w:r>
    </w:p>
    <w:p>
      <w:r>
        <w:t>A 96^3 census recovered eight of the nine candidates. For the surviving structures, Δr ≤ 0.016, while the original lattice spacing was approximately Δx ≈ 0.24. The observed drifts were therefore much smaller than the coarse lattice scale.</w:t>
      </w:r>
    </w:p>
    <w:p>
      <w:pPr>
        <w:pStyle w:val="Heading2"/>
      </w:pPr>
      <w:r>
        <w:t>9.2 Controlled roster perturbations</w:t>
      </w:r>
    </w:p>
    <w:p>
      <w:r>
        <w:t>Six declared source-family variants were tested:</w:t>
      </w:r>
    </w:p>
    <w:p>
      <w:pPr>
        <w:pStyle w:val="ListBullet"/>
      </w:pPr>
      <w:r>
        <w:t>seeded position-jitter variant A;</w:t>
      </w:r>
    </w:p>
    <w:p>
      <w:pPr>
        <w:pStyle w:val="ListBullet"/>
      </w:pPr>
      <w:r>
        <w:t>seeded position-jitter variant B;</w:t>
      </w:r>
    </w:p>
    <w:p>
      <w:pPr>
        <w:pStyle w:val="ListBullet"/>
      </w:pPr>
      <w:r>
        <w:t>mass perturbation +3%;</w:t>
      </w:r>
    </w:p>
    <w:p>
      <w:pPr>
        <w:pStyle w:val="ListBullet"/>
      </w:pPr>
      <w:r>
        <w:t>mass perturbation −3%;</w:t>
      </w:r>
    </w:p>
    <w:p>
      <w:pPr>
        <w:pStyle w:val="ListBullet"/>
      </w:pPr>
      <w:r>
        <w:t>alternating perturbation;</w:t>
      </w:r>
    </w:p>
    <w:p>
      <w:pPr>
        <w:pStyle w:val="ListBullet"/>
      </w:pPr>
      <w:r>
        <w:t>removal of the four faintest sources.</w:t>
      </w:r>
    </w:p>
    <w:p>
      <w:r>
        <w:t>Each variant retained eight or nine of the original nine troughs. The same eight-member subset consistently formed the robust population.</w:t>
      </w:r>
    </w:p>
    <w:p>
      <w:pPr>
        <w:pStyle w:val="Heading2"/>
      </w:pPr>
      <w:r>
        <w:t>9.3 Entropy-threshold sensitivity</w:t>
      </w:r>
    </w:p>
    <w:p>
      <w:r>
        <w:t>The number of disputed trough candidates changed smoothly with the threshold:</w:t>
      </w:r>
    </w:p>
    <w:p>
      <w:pPr>
        <w:pStyle w:val="Equation"/>
      </w:pPr>
      <w:r>
        <w:t>13 at H = 0.70; 9 at H = 0.75; 2 at H = 0.80</w:t>
      </w:r>
    </w:p>
    <w:p>
      <w:r>
        <w:t>No sharp population cliff occurs at the declared H = 0.75 census threshold. The threshold therefore acts as a selection level, not an obvious artifact-generating singularity.</w:t>
      </w:r>
    </w:p>
    <w:p>
      <w:pPr>
        <w:pStyle w:val="Heading2"/>
      </w:pPr>
      <w:r>
        <w:t>9.4 Adjudicated status</w:t>
      </w:r>
    </w:p>
    <w:p>
      <w:r>
        <w:t>The eight persistent LSN-66 structures are classified as Reproduced within the declared roster family. They are specific instances of the broader stabilized Commons-class phenomenon described below.</w:t>
      </w:r>
    </w:p>
    <w:p>
      <w:r>
        <w:t>They are not yet classified as Stabilized. That promotion requires broader independent scene-family testing and a dedicated trough-occurrence null.</w:t>
      </w:r>
    </w:p>
    <w:p>
      <w:pPr>
        <w:pStyle w:val="Heading1"/>
      </w:pPr>
      <w:r>
        <w:t>10. A repeated negative result: trough idx 7</w:t>
      </w:r>
    </w:p>
    <w:p>
      <w:r>
        <w:t>The ninth candidate, idx 7, is located near (0.809, 1.481, −7.843). It fails consistently.</w:t>
      </w:r>
    </w:p>
    <w:p>
      <w:pPr>
        <w:pStyle w:val="ListBullet"/>
      </w:pPr>
      <w:r>
        <w:t>It fails the refinement test.</w:t>
      </w:r>
    </w:p>
    <w:p>
      <w:pPr>
        <w:pStyle w:val="ListBullet"/>
      </w:pPr>
      <w:r>
        <w:t>It fails three of six roster perturbations.</w:t>
      </w:r>
    </w:p>
    <w:p>
      <w:pPr>
        <w:pStyle w:val="ListBullet"/>
      </w:pPr>
      <w:r>
        <w:t>It disappears first under imposed exterior-context forcing.</w:t>
      </w:r>
    </w:p>
    <w:p>
      <w:pPr>
        <w:pStyle w:val="ListBullet"/>
      </w:pPr>
      <w:r>
        <w:t>It fails carrier persistence.</w:t>
      </w:r>
    </w:p>
    <w:p>
      <w:r>
        <w:t>During carrier re-localization, its carrier-set Jaccard overlap falls to 0, its source-amplitude rank correlation falls to approximately 0.6, and its apparent re-localization drift becomes approximately 333.8.</w:t>
      </w:r>
    </w:p>
    <w:p>
      <w:r>
        <w:t>The correct interpretation is not extreme deformation. The original trough is absent in those variants.</w:t>
      </w:r>
    </w:p>
    <w:p>
      <w:r>
        <w:t>Idx 7 is therefore retained as Fragile Candidate / internal canary.</w:t>
      </w:r>
    </w:p>
    <w:p>
      <w:r>
        <w:t>Its identifier should remain fixed in future experiments. A methodological change that unexpectedly resurrects idx 7 should trigger audit rather than automatic celebration.</w:t>
      </w:r>
    </w:p>
    <w:p>
      <w:r>
        <w:t>The canary is scientifically valuable because it demonstrates that the pipeline does not indiscriminately preserve every discovered feature. The same member fails on four independent axes.</w:t>
      </w:r>
    </w:p>
    <w:p>
      <w:pPr>
        <w:pStyle w:val="Heading1"/>
      </w:pPr>
      <w:r>
        <w:t>11. Connected high-entropy backbone</w:t>
      </w:r>
    </w:p>
    <w:p>
      <w:pPr>
        <w:pStyle w:val="Heading2"/>
      </w:pPr>
      <w:r>
        <w:t>11.1 Observed component structure</w:t>
      </w:r>
    </w:p>
    <w:p>
      <w:r>
        <w:t>At H ≥ 0.85, the selected disputed region occupies approximately 8.7% of the sampled volume. Approximately 86.7% of that selected volume belongs to one connected component. At H ≥ 0.88, the dominant-component share is approximately 88.3%.</w:t>
      </w:r>
    </w:p>
    <w:p>
      <w:r>
        <w:t>Large connected components can arise trivially through correlated percolation. The observation therefore required an explicit null.</w:t>
      </w:r>
    </w:p>
    <w:p>
      <w:pPr>
        <w:pStyle w:val="Heading2"/>
      </w:pPr>
      <w:r>
        <w:t>11.2 Percolation null</w:t>
      </w:r>
    </w:p>
    <w:p>
      <w:r>
        <w:t>Twenty Gaussian random fields were generated. Their spatial correlation was matched to the measured H field, with fitted scale σ = 1.69 lattice cells. At each tested entropy level, the null threshold was adjusted to match the occupancy of the real selected region.</w:t>
      </w:r>
    </w:p>
    <w:p>
      <w:r>
        <w:t>The test therefore asks: given the observed occupied fraction and approximately matched spatial correlation, how large a dominant connected component should appear without the measured Commons organization?</w:t>
      </w:r>
    </w:p>
    <w:p>
      <w:r>
        <w:t>At H ≥ 0.85, B_real = 0.867. All 20 matched nulls produced smaller dominant-component fractions.</w:t>
      </w:r>
    </w:p>
    <w:p>
      <w:r>
        <w:t>The null median was approximately 0.35, and the largest null reached approximately 0.70.</w:t>
      </w:r>
    </w:p>
    <w:p>
      <w:r>
        <w:t>At H ≥ 0.88, B_real = 0.883, again exceeding every tested null.</w:t>
      </w:r>
    </w:p>
    <w:p>
      <w:r>
        <w:t>The result is reported conservatively as 0/20 null exceedances. No universal p-value is inferred.</w:t>
      </w:r>
    </w:p>
    <w:p>
      <w:pPr>
        <w:pStyle w:val="Heading2"/>
      </w:pPr>
      <w:r>
        <w:t>11.3 Lower-threshold null consistency</w:t>
      </w:r>
    </w:p>
    <w:p>
      <w:r>
        <w:t>At H ≥ 0.75 and H ≥ 0.80, the real connectivity lies within the matched null family. Accordingly, H &lt; 0.85 carries no promoted Commons-connectivity claim.</w:t>
      </w:r>
    </w:p>
    <w:p>
      <w:r>
        <w:t>The paper does not claim that H = 0.85 is a universal critical point. It is the lowest currently tested threshold at which the promoted connectivity claim survives the declared null.</w:t>
      </w:r>
    </w:p>
    <w:p>
      <w:pPr>
        <w:pStyle w:val="Heading2"/>
      </w:pPr>
      <w:r>
        <w:t>11.4 Status</w:t>
      </w:r>
    </w:p>
    <w:p>
      <w:r>
        <w:t>The high-entropy backbone is classified as Reproduced relative to the declared occupancy- and correlation-matched Gaussian percolation null.</w:t>
      </w:r>
    </w:p>
    <w:p>
      <w:pPr>
        <w:pStyle w:val="Heading1"/>
      </w:pPr>
      <w:r>
        <w:t>12. Carrier-persistence experiment</w:t>
      </w:r>
    </w:p>
    <w:p>
      <w:r>
        <w:t>Trough persistence does not imply carrier persistence. A stable spatial minimum could survive while the source-conditioned attribution architecture beneath it changes completely.</w:t>
      </w:r>
    </w:p>
    <w:p>
      <w:r>
        <w:t>A separate experiment therefore tested the carrier structure directly. All nine original troughs were re-localized in the six declared roster variants and one fine-refinement rung. For each trough and variant, the full source-participation panel was recomputed.</w:t>
      </w:r>
    </w:p>
    <w:p>
      <w:r>
        <w:t>The analysis recorded:</w:t>
      </w:r>
    </w:p>
    <w:p>
      <w:pPr>
        <w:pStyle w:val="ListBullet"/>
      </w:pPr>
      <w:r>
        <w:t>carrier-set Jaccard overlap;</w:t>
      </w:r>
    </w:p>
    <w:p>
      <w:pPr>
        <w:pStyle w:val="ListBullet"/>
      </w:pPr>
      <w:r>
        <w:t>Spearman rank correlation of S_s;</w:t>
      </w:r>
    </w:p>
    <w:p>
      <w:pPr>
        <w:pStyle w:val="ListBullet"/>
      </w:pPr>
      <w:r>
        <w:t>top-five carrier retention;</w:t>
      </w:r>
    </w:p>
    <w:p>
      <w:pPr>
        <w:pStyle w:val="ListBullet"/>
      </w:pPr>
      <w:r>
        <w:t>named Lalande, Stein, and GJ 412 A residuals;</w:t>
      </w:r>
    </w:p>
    <w:p>
      <w:pPr>
        <w:pStyle w:val="ListBullet"/>
      </w:pPr>
      <w:r>
        <w:t>attribution-entropy drift;</w:t>
      </w:r>
    </w:p>
    <w:p>
      <w:pPr>
        <w:pStyle w:val="ListBullet"/>
      </w:pPr>
      <w:r>
        <w:t>spatial re-localization drift.</w:t>
      </w:r>
    </w:p>
    <w:p>
      <w:pPr>
        <w:pStyle w:val="Heading1"/>
      </w:pPr>
      <w:r>
        <w:t>13. Persistence metrics and reproduced carrier custody</w:t>
      </w:r>
    </w:p>
    <w:p>
      <w:r>
        <w:t>For baseline carrier set C_i^(0) and variant carrier set C_i^(v), define the Jaccard overlap</w:t>
      </w:r>
    </w:p>
    <w:p>
      <w:pPr>
        <w:pStyle w:val="Equation"/>
      </w:pPr>
      <w:r>
        <w:t>J_i^(v) = |C_i^(0) ∩ C_i^(v)| / |C_i^(0) ∪ C_i^(v)|</w:t>
      </w:r>
    </w:p>
    <w:p>
      <w:r>
        <w:t>Center drift is</w:t>
      </w:r>
    </w:p>
    <w:p>
      <w:pPr>
        <w:pStyle w:val="Equation"/>
      </w:pPr>
      <w:r>
        <w:t>d_i^(v) = ||x_i^(v) − x_i^(0)||</w:t>
      </w:r>
    </w:p>
    <w:p>
      <w:r>
        <w:t>Source-response rank stability is measured with Spearman rank correlation across the S_s roster.</w:t>
      </w:r>
    </w:p>
    <w:p>
      <w:r>
        <w:t>Across every tested roster-internal perturbation, the eight reproduced troughs retain highly stable source-participation architecture.</w:t>
      </w:r>
    </w:p>
    <w:p>
      <w:pPr>
        <w:pStyle w:val="ListBullet"/>
      </w:pPr>
      <w:r>
        <w:t>Carrier-set Jaccard minima range from 0.87 to 1.00.</w:t>
      </w:r>
    </w:p>
    <w:p>
      <w:pPr>
        <w:pStyle w:val="ListBullet"/>
      </w:pPr>
      <w:r>
        <w:t>Median carrier-set Jaccard overlap is 1.00 for all eight troughs.</w:t>
      </w:r>
    </w:p>
    <w:p>
      <w:pPr>
        <w:pStyle w:val="ListBullet"/>
      </w:pPr>
      <w:r>
        <w:t>Source-amplitude rank correlations satisfy Spearman ≥ 0.999.</w:t>
      </w:r>
    </w:p>
    <w:p>
      <w:pPr>
        <w:pStyle w:val="ListBullet"/>
      </w:pPr>
      <w:r>
        <w:t>Top-five carrier retention is 5/5 in all but one variant, which retains 4/5.</w:t>
      </w:r>
    </w:p>
    <w:p>
      <w:pPr>
        <w:pStyle w:val="ListBullet"/>
      </w:pPr>
      <w:r>
        <w:t>Entropy drift satisfies |ΔH| ≤ 0.011.</w:t>
      </w:r>
    </w:p>
    <w:p>
      <w:pPr>
        <w:pStyle w:val="ListBullet"/>
      </w:pPr>
      <w:r>
        <w:t>Center drift satisfies d ≤ 0.096.</w:t>
      </w:r>
    </w:p>
    <w:p>
      <w:r>
        <w:t>These statistics jointly support carrier persistence. No single statistic carries the claim alone. The carrier structures are classified as Reproduced within the declared roster family.</w:t>
      </w:r>
    </w:p>
    <w:p>
      <w:pPr>
        <w:pStyle w:val="Heading1"/>
      </w:pPr>
      <w:r>
        <w:t>14. Named recurrence at the primary trough</w:t>
      </w:r>
    </w:p>
    <w:p>
      <w:r>
        <w:t>The primary trough repeatedly contains contributions associated with Lalande 21185, Stein 2051 B, and GJ 412 A. All three remain carriers across every tested internal-family variant.</w:t>
      </w:r>
    </w:p>
    <w:p>
      <w:r>
        <w:t>Their declared residuals remain stable to approximately ±0.014, with representative ranges:</w:t>
      </w:r>
    </w:p>
    <w:p>
      <w:pPr>
        <w:pStyle w:val="Equation"/>
      </w:pPr>
      <w:r>
        <w:t>Ψ_Lalande = −0.051 to −0.065</w:t>
      </w:r>
    </w:p>
    <w:p>
      <w:pPr>
        <w:pStyle w:val="Equation"/>
      </w:pPr>
      <w:r>
        <w:t>Ψ_Stein = −0.063 to −0.069</w:t>
      </w:r>
    </w:p>
    <w:p>
      <w:pPr>
        <w:pStyle w:val="Equation"/>
      </w:pPr>
      <w:r>
        <w:t>Ψ_GJ 412 A = −0.092 to −0.109</w:t>
      </w:r>
    </w:p>
    <w:p>
      <w:r>
        <w:t>The baseline near-parity relation between Lalande and Stein was independently recomputed and is not attributable to shared mutable state in the analysis pipeline.</w:t>
      </w:r>
    </w:p>
    <w:p>
      <w:r>
        <w:t>The named carrier-set claim is classified as Reproduced within the declared roster family. The primary Commons trough is not merely a coordinate location that persists. It retains a reproducible relational cast.</w:t>
      </w:r>
    </w:p>
    <w:p>
      <w:r>
        <w:t>Publication freeze note: the exact stored convention for Ψ_s should be checked directly against the canonical script before these numerical residuals are presented as equation-level quantities in a public edition.</w:t>
      </w:r>
    </w:p>
    <w:p>
      <w:pPr>
        <w:pStyle w:val="Heading1"/>
      </w:pPr>
      <w:r>
        <w:t>15. Exterior-context sensitivity</w:t>
      </w:r>
    </w:p>
    <w:p>
      <w:r>
        <w:t>Internal-family stability does not establish robustness to the unresolved parent environment. A separate context sweep introduced a controlled exterior tidal amplitude.</w:t>
      </w:r>
    </w:p>
    <w:p>
      <w:r>
        <w:t>The troughs behave as finite balance structures. As the imposed exterior amplitude approaches the local trough floor scale, carrier participation can reorganize. At the primary trough, Lalande participation decreases while Stein remains near the trough floor before the structure ultimately disappears under stronger forcing.</w:t>
      </w:r>
    </w:p>
    <w:p>
      <w:r>
        <w:t>The observation supports the provisional statement: within the tested LSN-66 internal perturbation family, carrier custody is stable. In the tested exterior-context lane, carrier renegotiation appears before trough evaporation.</w:t>
      </w:r>
    </w:p>
    <w:p>
      <w:r>
        <w:t>The stronger statement that carrier renegotiation is exclusively a parent-context phenomenon is not established.</w:t>
      </w:r>
    </w:p>
    <w:p>
      <w:r>
        <w:t>The real exterior environment has not yet been calibrated. The parent-context uncertainty measure Λ_Π therefore remains unresolved. The context-sensitivity result is classified as Observed sensitivity relation.</w:t>
      </w:r>
    </w:p>
    <w:p>
      <w:pPr>
        <w:pStyle w:val="Heading1"/>
      </w:pPr>
      <w:r>
        <w:t>16. Three distinct persistence questions</w:t>
      </w:r>
    </w:p>
    <w:p>
      <w:pPr>
        <w:pStyle w:val="Heading2"/>
      </w:pPr>
      <w:r>
        <w:t>16.1 Object persistence</w:t>
      </w:r>
    </w:p>
    <w:p>
      <w:r>
        <w:t>Does the trough remain recoverable under the declared correspondence rule?</w:t>
      </w:r>
    </w:p>
    <w:p>
      <w:pPr>
        <w:pStyle w:val="Heading2"/>
      </w:pPr>
      <w:r>
        <w:t>16.2 Carrier persistence</w:t>
      </w:r>
    </w:p>
    <w:p>
      <w:r>
        <w:t>Does the same source-participation architecture remain recognizably associated with the trough?</w:t>
      </w:r>
    </w:p>
    <w:p>
      <w:pPr>
        <w:pStyle w:val="Heading2"/>
      </w:pPr>
      <w:r>
        <w:t>16.3 Carrier renegotiation</w:t>
      </w:r>
    </w:p>
    <w:p>
      <w:r>
        <w:t>Can the trough remain while its source-participation architecture materially changes?</w:t>
      </w:r>
    </w:p>
    <w:p>
      <w:pPr>
        <w:pStyle w:val="Equation"/>
      </w:pPr>
      <w:r>
        <w:t>object persistence ≠ carrier persistence ≠ carrier renegotiation</w:t>
      </w:r>
    </w:p>
    <w:p>
      <w:r>
        <w:t>The LSN-66 internal perturbation family reproduces the first two. The controlled parent-context lane observes the onset of the third. This three-way split is one of the principal conceptual results of the Commons program.</w:t>
      </w:r>
    </w:p>
    <w:p>
      <w:pPr>
        <w:pStyle w:val="Heading1"/>
      </w:pPr>
      <w:r>
        <w:t>17. Observed phenomenology not yet promoted</w:t>
      </w:r>
    </w:p>
    <w:p>
      <w:pPr>
        <w:pStyle w:val="Heading2"/>
      </w:pPr>
      <w:r>
        <w:t>17.1 Parity webbing</w:t>
      </w:r>
    </w:p>
    <w:p>
      <w:r>
        <w:t>Mid-amplitude regions were observed in which three or more source-conditioned signatures approach parity simultaneously. Across 19 declared emission crawls, every detected webbing structure connected to primary parity cells. No detached new islands were found.</w:t>
      </w:r>
    </w:p>
    <w:p>
      <w:r>
        <w:t>The result suggests that Commons troughs may inhabit a larger relational architecture rather than occurring as isolated minima.</w:t>
      </w:r>
    </w:p>
    <w:p>
      <w:r>
        <w:t>Status: Observed.</w:t>
      </w:r>
    </w:p>
    <w:p>
      <w:pPr>
        <w:pStyle w:val="Heading2"/>
      </w:pPr>
      <w:r>
        <w:t>17.2 Roster-growth accretion and locking</w:t>
      </w:r>
    </w:p>
    <w:p>
      <w:r>
        <w:t>Across a source-density sequence, the number of detected troughs increased approximately 3 → 36. The primary Lalande-region trough moved monotonically toward its final position, with drift-to-final decreasing approximately 1.17 → 0.</w:t>
      </w:r>
    </w:p>
    <w:p>
      <w:r>
        <w:t>The laboratory shorthand is finger-trap accretion and locking. The observation is consistent with progressive geometric constraint as the roster becomes denser. It is not yet established as a law of source density or scene complexity.</w:t>
      </w:r>
    </w:p>
    <w:p>
      <w:r>
        <w:t>Status: Observed.</w:t>
      </w:r>
    </w:p>
    <w:p>
      <w:pPr>
        <w:pStyle w:val="Heading1"/>
      </w:pPr>
      <w:r>
        <w:t>18. Working definition of a relational Commons</w:t>
      </w:r>
    </w:p>
    <w:p>
      <w:r>
        <w:t>A relational Commons is a declared interstitial regime in a multi-source gravitational scene exhibiting some combination of:</w:t>
      </w:r>
    </w:p>
    <w:p>
      <w:pPr>
        <w:pStyle w:val="ListBullet"/>
      </w:pPr>
      <w:r>
        <w:t>locally reduced full-scene electric-Weyl amplitude;</w:t>
      </w:r>
    </w:p>
    <w:p>
      <w:pPr>
        <w:pStyle w:val="ListBullet"/>
      </w:pPr>
      <w:r>
        <w:t>elevated source-attribution entropy;</w:t>
      </w:r>
    </w:p>
    <w:p>
      <w:pPr>
        <w:pStyle w:val="ListBullet"/>
      </w:pPr>
      <w:r>
        <w:t>simultaneous participation of multiple source-conditioned signatures;</w:t>
      </w:r>
    </w:p>
    <w:p>
      <w:pPr>
        <w:pStyle w:val="ListBullet"/>
      </w:pPr>
      <w:r>
        <w:t>reproducible tidal-amplitude troughs;</w:t>
      </w:r>
    </w:p>
    <w:p>
      <w:pPr>
        <w:pStyle w:val="ListBullet"/>
      </w:pPr>
      <w:r>
        <w:t>persistent carrier architecture;</w:t>
      </w:r>
    </w:p>
    <w:p>
      <w:pPr>
        <w:pStyle w:val="ListBullet"/>
      </w:pPr>
      <w:r>
        <w:t>nontrivial high-entropy connectivity relative to an appropriate null;</w:t>
      </w:r>
    </w:p>
    <w:p>
      <w:pPr>
        <w:pStyle w:val="ListBullet"/>
      </w:pPr>
      <w:r>
        <w:t>context-sensitive carrier reorganization.</w:t>
      </w:r>
    </w:p>
    <w:p>
      <w:r>
        <w:t>This is a working research definition. It is not proposed as a universal invariant or new spacetime object. The electric-Weyl tensor and the registered ablation bundle remain the primary evidence. The Commons is a derived interpretation of their relational organization.</w:t>
      </w:r>
    </w:p>
    <w:p>
      <w:pPr>
        <w:pStyle w:val="Heading1"/>
      </w:pPr>
      <w:r>
        <w:t>19. Relationship to the GCS architecture</w:t>
      </w:r>
    </w:p>
    <w:p>
      <w:r>
        <w:t>The Commons program grows from the revised GCS program but does not replace it. A source GCS asks where the source-conditioned response reaches parity with its registered ablated-scene context. A many-source signature network asks where source-conditioned amplitudes reach equality or exchange dominance.</w:t>
      </w:r>
    </w:p>
    <w:p>
      <w:r>
        <w:t>A Commons experiment asks what happens in regions where full-scene tidal amplitude is locally low, source attribution remains highly distributed, multiple parity relations coexist, and those structures persist under controlled perturbation.</w:t>
      </w:r>
    </w:p>
    <w:p>
      <w:r>
        <w:t>The GCS is therefore a declared parity geometry. The Commons is a broader relational regime. A Commons trough may contain several GCS or source-source parity components. A Commons backbone may weave among dominance cells. Neither structure is where gravity ends, and neither partitions the physical field into owned territories.</w:t>
      </w:r>
    </w:p>
    <w:p>
      <w:pPr>
        <w:pStyle w:val="Heading1"/>
      </w:pPr>
      <w:r>
        <w:t>20. Relationship to compression diagnostics</w:t>
      </w:r>
    </w:p>
    <w:p>
      <w:r>
        <w:t>The Commons results create a direct experimental bridge to the lab's resolved-versus-compressed program. Let E_resolved(x) be the electric-Weyl tensor of the source-resolved scene and E_compressed(x) the corresponding tensor under a declared barycentric, monopole, or coarse surrogate.</w:t>
      </w:r>
    </w:p>
    <w:p>
      <w:pPr>
        <w:pStyle w:val="Equation"/>
      </w:pPr>
      <w:r>
        <w:t>Δ_E(x) = E_resolved(x) − E_compressed(x)</w:t>
      </w:r>
    </w:p>
    <w:p>
      <w:r>
        <w:t>A compressed model may preserve gross mass, far-field potential, or even large-scale tidal amplitude while discarding source-attribution entropy, carrier identity, trough morphology, parity webbing, high-entropy backbone connectivity, or context-sensitive carrier reorganization.</w:t>
      </w:r>
    </w:p>
    <w:p>
      <w:r>
        <w:t>The next compression experiment should therefore ask whether relational Commons structures identify regions where source compression loses structured information before conventional bulk errors become large. That question is open and may ultimately provide the strongest external scientific use of the Commons framework.</w:t>
      </w:r>
    </w:p>
    <w:p>
      <w:pPr>
        <w:pStyle w:val="Heading1"/>
      </w:pPr>
      <w:r>
        <w:t>21. Reproducibility and evidence chain</w:t>
      </w:r>
    </w:p>
    <w:p>
      <w:r>
        <w:t>Principal evidence packets:</w:t>
      </w:r>
    </w:p>
    <w:tbl>
      <w:tblPr>
        <w:tblStyle w:val="TableGrid"/>
        <w:tblW w:type="auto" w:w="0"/>
        <w:jc w:val="center"/>
        <w:tblLook w:firstColumn="1" w:firstRow="1" w:lastColumn="0" w:lastRow="0" w:noHBand="0" w:noVBand="1" w:val="04A0"/>
      </w:tblPr>
      <w:tblGrid>
        <w:gridCol w:w="3264"/>
        <w:gridCol w:w="3264"/>
        <w:gridCol w:w="3264"/>
      </w:tblGrid>
      <w:tr>
        <w:tc>
          <w:tcPr>
            <w:tcW w:type="dxa" w:w="2448"/>
            <w:vAlign w:val="center"/>
            <w:shd w:fill="D9EAF7"/>
          </w:tcPr>
          <w:p>
            <w:r>
              <w:rPr>
                <w:b/>
              </w:rPr>
              <w:t>Packet</w:t>
            </w:r>
          </w:p>
        </w:tc>
        <w:tc>
          <w:tcPr>
            <w:tcW w:type="dxa" w:w="6912"/>
            <w:vAlign w:val="center"/>
            <w:shd w:fill="D9EAF7"/>
          </w:tcPr>
          <w:p>
            <w:r>
              <w:rPr>
                <w:b/>
              </w:rPr>
              <w:t>Repo-relative path</w:t>
            </w:r>
          </w:p>
        </w:tc>
        <w:tc>
          <w:tcPr>
            <w:tcW w:type="dxa" w:w="2160"/>
            <w:vAlign w:val="center"/>
            <w:shd w:fill="D9EAF7"/>
          </w:tcPr>
          <w:p>
            <w:r>
              <w:rPr>
                <w:b/>
              </w:rPr>
              <w:t>SHA-256 prefix</w:t>
            </w:r>
          </w:p>
        </w:tc>
      </w:tr>
      <w:tr>
        <w:tc>
          <w:tcPr>
            <w:tcW w:type="dxa" w:w="2448"/>
            <w:vAlign w:val="top"/>
          </w:tcPr>
          <w:p>
            <w:r>
              <w:t>COMMONS_SURVEY_001</w:t>
            </w:r>
          </w:p>
        </w:tc>
        <w:tc>
          <w:tcPr>
            <w:tcW w:type="dxa" w:w="6912"/>
            <w:vAlign w:val="top"/>
          </w:tcPr>
          <w:p>
            <w:r>
              <w:t>analysis/et_tov3_scout/COMMONS_SURVEY_001/commons_survey_001_20260717.json</w:t>
            </w:r>
          </w:p>
        </w:tc>
        <w:tc>
          <w:tcPr>
            <w:tcW w:type="dxa" w:w="2160"/>
            <w:vAlign w:val="top"/>
          </w:tcPr>
          <w:p>
            <w:r>
              <w:t>5c2b9fe780a4</w:t>
            </w:r>
          </w:p>
        </w:tc>
      </w:tr>
      <w:tr>
        <w:tc>
          <w:tcPr>
            <w:tcW w:type="dxa" w:w="2448"/>
            <w:vAlign w:val="top"/>
          </w:tcPr>
          <w:p>
            <w:r>
              <w:t>COMMONS_CONTEXT_SWEEP_001</w:t>
            </w:r>
          </w:p>
        </w:tc>
        <w:tc>
          <w:tcPr>
            <w:tcW w:type="dxa" w:w="6912"/>
            <w:vAlign w:val="top"/>
          </w:tcPr>
          <w:p>
            <w:r>
              <w:t>analysis/et_tov3_scout/COMMONS_CONTEXT_SWEEP_001/commons_context_sweep_001_20260717.json</w:t>
            </w:r>
          </w:p>
        </w:tc>
        <w:tc>
          <w:tcPr>
            <w:tcW w:type="dxa" w:w="2160"/>
            <w:vAlign w:val="top"/>
          </w:tcPr>
          <w:p>
            <w:r>
              <w:t>77860d44287d</w:t>
            </w:r>
          </w:p>
        </w:tc>
      </w:tr>
      <w:tr>
        <w:tc>
          <w:tcPr>
            <w:tcW w:type="dxa" w:w="2448"/>
            <w:vAlign w:val="top"/>
          </w:tcPr>
          <w:p>
            <w:r>
              <w:t>COMMONS_DENSITY_PROBE_001</w:t>
            </w:r>
          </w:p>
        </w:tc>
        <w:tc>
          <w:tcPr>
            <w:tcW w:type="dxa" w:w="6912"/>
            <w:vAlign w:val="top"/>
          </w:tcPr>
          <w:p>
            <w:r>
              <w:t>analysis/et_tov3_scout/COMMONS_DENSITY_PROBE_001/commons_density_probe_001_20260717.json</w:t>
            </w:r>
          </w:p>
        </w:tc>
        <w:tc>
          <w:tcPr>
            <w:tcW w:type="dxa" w:w="2160"/>
            <w:vAlign w:val="top"/>
          </w:tcPr>
          <w:p>
            <w:r>
              <w:t>13ad7f943e2f</w:t>
            </w:r>
          </w:p>
        </w:tc>
      </w:tr>
      <w:tr>
        <w:tc>
          <w:tcPr>
            <w:tcW w:type="dxa" w:w="2448"/>
            <w:vAlign w:val="top"/>
          </w:tcPr>
          <w:p>
            <w:r>
              <w:t>COMMONS_FRONTIER_PROBE_001</w:t>
            </w:r>
          </w:p>
        </w:tc>
        <w:tc>
          <w:tcPr>
            <w:tcW w:type="dxa" w:w="6912"/>
            <w:vAlign w:val="top"/>
          </w:tcPr>
          <w:p>
            <w:r>
              <w:t>analysis/et_tov3_scout/COMMONS_FRONTIER_PROBE_001/frontier_probe_20260717.json</w:t>
            </w:r>
          </w:p>
        </w:tc>
        <w:tc>
          <w:tcPr>
            <w:tcW w:type="dxa" w:w="2160"/>
            <w:vAlign w:val="top"/>
          </w:tcPr>
          <w:p>
            <w:r>
              <w:t>bf86234a76c7</w:t>
            </w:r>
          </w:p>
        </w:tc>
      </w:tr>
      <w:tr>
        <w:tc>
          <w:tcPr>
            <w:tcW w:type="dxa" w:w="2448"/>
            <w:vAlign w:val="top"/>
          </w:tcPr>
          <w:p>
            <w:r>
              <w:t>COMMONS_PERSISTENCE_SWEEP_001</w:t>
            </w:r>
          </w:p>
        </w:tc>
        <w:tc>
          <w:tcPr>
            <w:tcW w:type="dxa" w:w="6912"/>
            <w:vAlign w:val="top"/>
          </w:tcPr>
          <w:p>
            <w:r>
              <w:t>analysis/et_tov3_scout/COMMONS_PERSISTENCE_SWEEP_001/commons_persistence_sweep_001_20260718.json</w:t>
            </w:r>
          </w:p>
        </w:tc>
        <w:tc>
          <w:tcPr>
            <w:tcW w:type="dxa" w:w="2160"/>
            <w:vAlign w:val="top"/>
          </w:tcPr>
          <w:p>
            <w:r>
              <w:t>50eed5995be3</w:t>
            </w:r>
          </w:p>
        </w:tc>
      </w:tr>
      <w:tr>
        <w:tc>
          <w:tcPr>
            <w:tcW w:type="dxa" w:w="2448"/>
            <w:vAlign w:val="top"/>
          </w:tcPr>
          <w:p>
            <w:r>
              <w:t>COMMONS_CARRIER_PERSISTENCE_001</w:t>
            </w:r>
          </w:p>
        </w:tc>
        <w:tc>
          <w:tcPr>
            <w:tcW w:type="dxa" w:w="6912"/>
            <w:vAlign w:val="top"/>
          </w:tcPr>
          <w:p>
            <w:r>
              <w:t>analysis/et_tov3_scout/COMMONS_CARRIER_PERSISTENCE_001/</w:t>
            </w:r>
          </w:p>
        </w:tc>
        <w:tc>
          <w:tcPr>
            <w:tcW w:type="dxa" w:w="2160"/>
            <w:vAlign w:val="top"/>
          </w:tcPr>
          <w:p>
            <w:r>
              <w:t>see packet manifest</w:t>
            </w:r>
          </w:p>
        </w:tc>
      </w:tr>
      <w:tr>
        <w:tc>
          <w:tcPr>
            <w:tcW w:type="dxa" w:w="3264"/>
          </w:tcPr>
          <w:p>
            <w:r>
              <w:t>COMMONS_STABILIZED_GATE_001</w:t>
            </w:r>
          </w:p>
        </w:tc>
        <w:tc>
          <w:tcPr>
            <w:tcW w:type="dxa" w:w="3264"/>
          </w:tcPr>
          <w:p>
            <w:r>
              <w:t>analysis/et_tov3_scout/COMMONS_STABILIZED_GATE_001/</w:t>
            </w:r>
          </w:p>
        </w:tc>
        <w:tc>
          <w:tcPr>
            <w:tcW w:type="dxa" w:w="3264"/>
          </w:tcPr>
          <w:p>
            <w:r>
              <w:t>see packet manifest</w:t>
            </w:r>
          </w:p>
        </w:tc>
      </w:tr>
    </w:tbl>
    <w:p>
      <w:r>
        <w:t>Principal scripts:</w:t>
      </w:r>
    </w:p>
    <w:p>
      <w:pPr>
        <w:pStyle w:val="ListBullet"/>
      </w:pPr>
      <w:r>
        <w:t>commons_survey_001.mjs</w:t>
      </w:r>
    </w:p>
    <w:p>
      <w:pPr>
        <w:pStyle w:val="ListBullet"/>
      </w:pPr>
      <w:r>
        <w:t>commons_survey_002.mjs</w:t>
      </w:r>
    </w:p>
    <w:p>
      <w:pPr>
        <w:pStyle w:val="ListBullet"/>
      </w:pPr>
      <w:r>
        <w:t>commons_context_sweep_001.mjs</w:t>
      </w:r>
    </w:p>
    <w:p>
      <w:pPr>
        <w:pStyle w:val="ListBullet"/>
      </w:pPr>
      <w:r>
        <w:t>commons_density_probe_001.mjs</w:t>
      </w:r>
    </w:p>
    <w:p>
      <w:pPr>
        <w:pStyle w:val="ListBullet"/>
      </w:pPr>
      <w:r>
        <w:t>commons_persistence_sweep_001.mjs</w:t>
      </w:r>
    </w:p>
    <w:p>
      <w:pPr>
        <w:pStyle w:val="ListBullet"/>
      </w:pPr>
      <w:r>
        <w:t>commons_stabilized_gate_001.mjs</w:t>
      </w:r>
    </w:p>
    <w:p>
      <w:pPr>
        <w:pStyle w:val="ListBullet"/>
      </w:pPr>
      <w:r>
        <w:t>commons_carrier_persistence_001.mjs</w:t>
      </w:r>
    </w:p>
    <w:p>
      <w:r>
        <w:t>Viewer outputs include the Commons Layers payload and commons_atlas.html. Viewer renders are audit instruments. They are not the evidentiary basis of the promoted claims.</w:t>
      </w:r>
    </w:p>
    <w:p>
      <w:pPr>
        <w:pStyle w:val="Heading1"/>
      </w:pPr>
      <w:r>
        <w:t>22. Compute incident and reproducibility safeguard</w:t>
      </w:r>
    </w:p>
    <w:p>
      <w:r>
        <w:t>During the first persistence sweep, one trough-refinement pattern search in the mu_alternating variant entered an excessive floating-point crawl. The process remained near 98% CPU for approximately 30 minutes and was manually terminated.</w:t>
      </w:r>
    </w:p>
    <w:p>
      <w:r>
        <w:t>The pattern search was then modified to include:</w:t>
      </w:r>
    </w:p>
    <w:p>
      <w:pPr>
        <w:pStyle w:val="ListBullet"/>
      </w:pPr>
      <w:r>
        <w:t>an explicit iteration cap;</w:t>
      </w:r>
    </w:p>
    <w:p>
      <w:pPr>
        <w:pStyle w:val="ListBullet"/>
      </w:pPr>
      <w:r>
        <w:t>a relative-improvement stopping criterion;</w:t>
      </w:r>
    </w:p>
    <w:p>
      <w:pPr>
        <w:pStyle w:val="ListBullet"/>
      </w:pPr>
      <w:r>
        <w:t>a declared 10^6-node computation ceiling.</w:t>
      </w:r>
    </w:p>
    <w:p>
      <w:r>
        <w:t>The rerun completed in approximately 2.1 seconds. The previously completed Part A and Part B outputs were identical. Peak memory remained approximately 140 MB. The incident therefore produced an engineering safeguard rather than a change in the reported scientific result.</w:t>
      </w:r>
    </w:p>
    <w:p>
      <w:pPr>
        <w:pStyle w:val="Heading1"/>
      </w:pPr>
      <w:r>
        <w:t>23. Stabilized Commons-class gate</w:t>
      </w:r>
    </w:p>
    <w:p>
      <w:r>
        <w:t>The earlier Commons program established reproduction of eight named LSN-66 troughs and their carrier rosters. A later stabilization sweep tested two additional requirements: whether disputed trough occurrence is enriched relative to an explicit null, and whether the phenomenology recurs across broader scene families and scrambled arrangements.</w:t>
      </w:r>
    </w:p>
    <w:p>
      <w:pPr>
        <w:pStyle w:val="Heading2"/>
      </w:pPr>
      <w:r>
        <w:t>23.1 Within-scene occurrence enrichment</w:t>
      </w:r>
    </w:p>
    <w:p>
      <w:r>
        <w:t>The refined LSN-66 scene contains 36 local minima of the full-scene Frobenius amplitude ||E||_F, of which 9 satisfy the disputedness criterion H ≥ 0.75. A matched control draws 36 random volume points while binning to reproduce the minima population's distance-to-nearest-source distribution and excluding the inner 1.0 guard region.</w:t>
      </w:r>
    </w:p>
    <w:p>
      <w:r>
        <w:t>Across 1000 matched random draws, the null disputed-count distribution has median 4 and maximum 10. Only 3 of 1000 draws reach the real count of 9. The median attribution entropy is 0.683 at the actual minima and 0.608 in the matched controls.</w:t>
      </w:r>
    </w:p>
    <w:p>
      <w:r>
        <w:t>This result supports enrichment of high-attribution disputedness specifically at tidal-amplitude minima relative to source-distance-matched random placement. It should be reported as a finite Monte Carlo enrichment result, not as a universal probability law.</w:t>
      </w:r>
    </w:p>
    <w:p>
      <w:pPr>
        <w:pStyle w:val="Heading2"/>
      </w:pPr>
      <w:r>
        <w:t>23.2 Structure-scrambled arrangement ensemble</w:t>
      </w:r>
    </w:p>
    <w:p>
      <w:r>
        <w:t>Twenty additional rosters preserve the source-mass list, collapsed-system memberships, and the radial mass profile by bootstrap while destroying the original angular arrangement. Every realization produces disputed troughs. The ensemble median is 14, with range 10–20, compared with 9 in the real LSN-66 arrangement.</w:t>
      </w:r>
    </w:p>
    <w:p>
      <w:r>
        <w:t>At matched 8.7% occupancy, every scrambled scene also produces a connected high-entropy backbone, with dominant-component share median 0.896 and range 0.50–1.00, compared with 0.867 in the real arrangement.</w:t>
      </w:r>
    </w:p>
    <w:p>
      <w:r>
        <w:t>The correct interpretation is not that the observed arrangement is special. The opposite is indicated: Commons phenomenology recurs across the declared radial-profile-preserving arrangement family, and the real LSN-66 scene lies toward the low end of the disputed-count distribution.</w:t>
      </w:r>
    </w:p>
    <w:p>
      <w:r>
        <w:t>This test does not establish genericity across all lawful arrangement ensembles. Uniform-volume scrambling and matched two-point-clustering ensembles remain untested. The scope is therefore class-genericity within the declared radial-profile-preserving scrambling family.</w:t>
      </w:r>
    </w:p>
    <w:p>
      <w:pPr>
        <w:pStyle w:val="Heading2"/>
      </w:pPr>
      <w:r>
        <w:t>23.3 Scene-family recurrence and observed onset interval</w:t>
      </w:r>
    </w:p>
    <w:p>
      <w:r>
        <w:t>Applying the same census to nested source-count families yields: N = 24, 12 total troughs and 7 disputed; N = 48, 27 total troughs and 9 disputed; N = 66, 36 total troughs and 9 disputed. A compact N = 5 family produces zero troughs. Earlier density probing detects the phenomenon by N = 16.</w:t>
      </w:r>
    </w:p>
    <w:p>
      <w:r>
        <w:t>The present evidence therefore places an observed onset interval between the tested N = 5 and N = 16 families. This is not yet a canonical Commons onset threshold because source count may not be the controlling variable by itself. Density, spatial extent, clustering, radial profile, mass hierarchy, or a compound scene-complexity parameter may control the transition.</w:t>
      </w:r>
    </w:p>
    <w:p>
      <w:pPr>
        <w:pStyle w:val="Heading2"/>
      </w:pPr>
      <w:r>
        <w:t>23.4 Stabilized class-level claim</w:t>
      </w:r>
    </w:p>
    <w:p>
      <w:r>
        <w:t>Taken together with resolution persistence, roster perturbation, carrier persistence, the occurrence null, arrangement scrambling, and recurrence across nested source-count families, the Commons-class phenomenon is classified as Stabilized within the tested Brill-Lindquist many-source scene class.</w:t>
      </w:r>
    </w:p>
    <w:p>
      <w:r>
        <w:t>The eight named LSN-66 troughs do not individually inherit Stabilized status. They remain Reproduced within the declared LSN-66 roster family, because they are specific instances tied to one arrangement. The class claim sits above them.</w:t>
      </w:r>
    </w:p>
    <w:p>
      <w:r>
        <w:t>Canonical class-level wording: Within the tested Brill-Lindquist many-source scene class, local minima of the full-scene electric-Weyl Frobenius amplitude are enriched in high attribution disputedness relative to source-distance-matched random placement, and the resulting Commons phenomenology recurs across radial-profile-preserving structure-scrambled arrangements and multiple source-count families.</w:t>
      </w:r>
    </w:p>
    <w:p>
      <w:r>
        <w:t>Standard limitation: Λ_Π remains uncalibrated; persistence under the real unresolved parent environment is not claimed.</w:t>
      </w:r>
    </w:p>
    <w:p>
      <w:pPr>
        <w:pStyle w:val="Heading1"/>
      </w:pPr>
      <w:r>
        <w:t>23. Claim register</w:t>
      </w:r>
    </w:p>
    <w:tbl>
      <w:tblPr>
        <w:tblStyle w:val="TableGrid"/>
        <w:tblW w:type="auto" w:w="0"/>
        <w:jc w:val="center"/>
        <w:tblLook w:firstColumn="1" w:firstRow="1" w:lastColumn="0" w:lastRow="0" w:noHBand="0" w:noVBand="1" w:val="04A0"/>
      </w:tblPr>
      <w:tblGrid>
        <w:gridCol w:w="3264"/>
        <w:gridCol w:w="3264"/>
        <w:gridCol w:w="3264"/>
      </w:tblGrid>
      <w:tr>
        <w:tc>
          <w:tcPr>
            <w:tcW w:type="dxa" w:w="4608"/>
            <w:vAlign w:val="center"/>
            <w:shd w:fill="D9EAF7"/>
          </w:tcPr>
          <w:p>
            <w:r>
              <w:rPr>
                <w:b/>
              </w:rPr>
              <w:t>Result</w:t>
            </w:r>
          </w:p>
        </w:tc>
        <w:tc>
          <w:tcPr>
            <w:tcW w:type="dxa" w:w="2304"/>
            <w:vAlign w:val="center"/>
            <w:shd w:fill="D9EAF7"/>
          </w:tcPr>
          <w:p>
            <w:r>
              <w:rPr>
                <w:b/>
              </w:rPr>
              <w:t>Status</w:t>
            </w:r>
          </w:p>
        </w:tc>
        <w:tc>
          <w:tcPr>
            <w:tcW w:type="dxa" w:w="3600"/>
            <w:vAlign w:val="center"/>
            <w:shd w:fill="D9EAF7"/>
          </w:tcPr>
          <w:p>
            <w:r>
              <w:rPr>
                <w:b/>
              </w:rPr>
              <w:t>Scope</w:t>
            </w:r>
          </w:p>
        </w:tc>
      </w:tr>
      <w:tr>
        <w:tc>
          <w:tcPr>
            <w:tcW w:type="dxa" w:w="4608"/>
            <w:vAlign w:val="top"/>
          </w:tcPr>
          <w:p>
            <w:r>
              <w:t>Eight high-attribution-entropy tidal-amplitude troughs</w:t>
            </w:r>
          </w:p>
        </w:tc>
        <w:tc>
          <w:tcPr>
            <w:tcW w:type="dxa" w:w="2304"/>
            <w:vAlign w:val="top"/>
          </w:tcPr>
          <w:p>
            <w:r>
              <w:t>Reproduced</w:t>
            </w:r>
          </w:p>
        </w:tc>
        <w:tc>
          <w:tcPr>
            <w:tcW w:type="dxa" w:w="3600"/>
            <w:vAlign w:val="top"/>
          </w:tcPr>
          <w:p>
            <w:r>
              <w:t>Declared LSN-66 roster family</w:t>
            </w:r>
          </w:p>
        </w:tc>
      </w:tr>
      <w:tr>
        <w:tc>
          <w:tcPr>
            <w:tcW w:type="dxa" w:w="4608"/>
            <w:vAlign w:val="top"/>
          </w:tcPr>
          <w:p>
            <w:r>
              <w:t>Trough idx 7</w:t>
            </w:r>
          </w:p>
        </w:tc>
        <w:tc>
          <w:tcPr>
            <w:tcW w:type="dxa" w:w="2304"/>
            <w:vAlign w:val="top"/>
          </w:tcPr>
          <w:p>
            <w:r>
              <w:t>Fragile Candidate</w:t>
            </w:r>
          </w:p>
        </w:tc>
        <w:tc>
          <w:tcPr>
            <w:tcW w:type="dxa" w:w="3600"/>
            <w:vAlign w:val="top"/>
          </w:tcPr>
          <w:p>
            <w:r>
              <w:t>Four-axis failure / internal canary</w:t>
            </w:r>
          </w:p>
        </w:tc>
      </w:tr>
      <w:tr>
        <w:tc>
          <w:tcPr>
            <w:tcW w:type="dxa" w:w="4608"/>
            <w:vAlign w:val="top"/>
          </w:tcPr>
          <w:p>
            <w:r>
              <w:t>H ≥ 0.85 connected backbone</w:t>
            </w:r>
          </w:p>
        </w:tc>
        <w:tc>
          <w:tcPr>
            <w:tcW w:type="dxa" w:w="2304"/>
            <w:vAlign w:val="top"/>
          </w:tcPr>
          <w:p>
            <w:r>
              <w:t>Reproduced</w:t>
            </w:r>
          </w:p>
        </w:tc>
        <w:tc>
          <w:tcPr>
            <w:tcW w:type="dxa" w:w="3600"/>
            <w:vAlign w:val="top"/>
          </w:tcPr>
          <w:p>
            <w:r>
              <w:t>Relative to declared 20-member matched percolation null</w:t>
            </w:r>
          </w:p>
        </w:tc>
      </w:tr>
      <w:tr>
        <w:tc>
          <w:tcPr>
            <w:tcW w:type="dxa" w:w="4608"/>
            <w:vAlign w:val="top"/>
          </w:tcPr>
          <w:p>
            <w:r>
              <w:t>H &lt; 0.85 connectivity</w:t>
            </w:r>
          </w:p>
        </w:tc>
        <w:tc>
          <w:tcPr>
            <w:tcW w:type="dxa" w:w="2304"/>
            <w:vAlign w:val="top"/>
          </w:tcPr>
          <w:p>
            <w:r>
              <w:t>Not promoted</w:t>
            </w:r>
          </w:p>
        </w:tc>
        <w:tc>
          <w:tcPr>
            <w:tcW w:type="dxa" w:w="3600"/>
            <w:vAlign w:val="top"/>
          </w:tcPr>
          <w:p>
            <w:r>
              <w:t>Null-consistent</w:t>
            </w:r>
          </w:p>
        </w:tc>
      </w:tr>
      <w:tr>
        <w:tc>
          <w:tcPr>
            <w:tcW w:type="dxa" w:w="4608"/>
            <w:vAlign w:val="top"/>
          </w:tcPr>
          <w:p>
            <w:r>
              <w:t>Eight-trough carrier-roster stability</w:t>
            </w:r>
          </w:p>
        </w:tc>
        <w:tc>
          <w:tcPr>
            <w:tcW w:type="dxa" w:w="2304"/>
            <w:vAlign w:val="top"/>
          </w:tcPr>
          <w:p>
            <w:r>
              <w:t>Reproduced</w:t>
            </w:r>
          </w:p>
        </w:tc>
        <w:tc>
          <w:tcPr>
            <w:tcW w:type="dxa" w:w="3600"/>
            <w:vAlign w:val="top"/>
          </w:tcPr>
          <w:p>
            <w:r>
              <w:t>Declared internal perturbation family</w:t>
            </w:r>
          </w:p>
        </w:tc>
      </w:tr>
      <w:tr>
        <w:tc>
          <w:tcPr>
            <w:tcW w:type="dxa" w:w="4608"/>
            <w:vAlign w:val="top"/>
          </w:tcPr>
          <w:p>
            <w:r>
              <w:t>Lalande / Stein / GJ 412 A carrier recurrence</w:t>
            </w:r>
          </w:p>
        </w:tc>
        <w:tc>
          <w:tcPr>
            <w:tcW w:type="dxa" w:w="2304"/>
            <w:vAlign w:val="top"/>
          </w:tcPr>
          <w:p>
            <w:r>
              <w:t>Reproduced</w:t>
            </w:r>
          </w:p>
        </w:tc>
        <w:tc>
          <w:tcPr>
            <w:tcW w:type="dxa" w:w="3600"/>
            <w:vAlign w:val="top"/>
          </w:tcPr>
          <w:p>
            <w:r>
              <w:t>Primary trough, declared internal family</w:t>
            </w:r>
          </w:p>
        </w:tc>
      </w:tr>
      <w:tr>
        <w:tc>
          <w:tcPr>
            <w:tcW w:type="dxa" w:w="4608"/>
            <w:vAlign w:val="top"/>
          </w:tcPr>
          <w:p>
            <w:r>
              <w:t>Internal-family custody stability</w:t>
            </w:r>
          </w:p>
        </w:tc>
        <w:tc>
          <w:tcPr>
            <w:tcW w:type="dxa" w:w="2304"/>
            <w:vAlign w:val="top"/>
          </w:tcPr>
          <w:p>
            <w:r>
              <w:t>Reproduced</w:t>
            </w:r>
          </w:p>
        </w:tc>
        <w:tc>
          <w:tcPr>
            <w:tcW w:type="dxa" w:w="3600"/>
            <w:vAlign w:val="top"/>
          </w:tcPr>
          <w:p>
            <w:r>
              <w:t>Present LSN-66 perturbation suite</w:t>
            </w:r>
          </w:p>
        </w:tc>
      </w:tr>
      <w:tr>
        <w:tc>
          <w:tcPr>
            <w:tcW w:type="dxa" w:w="4608"/>
            <w:vAlign w:val="top"/>
          </w:tcPr>
          <w:p>
            <w:r>
              <w:t>Exterior-context carrier renegotiation</w:t>
            </w:r>
          </w:p>
        </w:tc>
        <w:tc>
          <w:tcPr>
            <w:tcW w:type="dxa" w:w="2304"/>
            <w:vAlign w:val="top"/>
          </w:tcPr>
          <w:p>
            <w:r>
              <w:t>Observed</w:t>
            </w:r>
          </w:p>
        </w:tc>
        <w:tc>
          <w:tcPr>
            <w:tcW w:type="dxa" w:w="3600"/>
            <w:vAlign w:val="top"/>
          </w:tcPr>
          <w:p>
            <w:r>
              <w:t>Controlled imposed exterior lane</w:t>
            </w:r>
          </w:p>
        </w:tc>
      </w:tr>
      <w:tr>
        <w:tc>
          <w:tcPr>
            <w:tcW w:type="dxa" w:w="4608"/>
            <w:vAlign w:val="top"/>
          </w:tcPr>
          <w:p>
            <w:r>
              <w:t>Parity webbing</w:t>
            </w:r>
          </w:p>
        </w:tc>
        <w:tc>
          <w:tcPr>
            <w:tcW w:type="dxa" w:w="2304"/>
            <w:vAlign w:val="top"/>
          </w:tcPr>
          <w:p>
            <w:r>
              <w:t>Observed</w:t>
            </w:r>
          </w:p>
        </w:tc>
        <w:tc>
          <w:tcPr>
            <w:tcW w:type="dxa" w:w="3600"/>
            <w:vAlign w:val="top"/>
          </w:tcPr>
          <w:p>
            <w:r>
              <w:t>Persistence certification pending</w:t>
            </w:r>
          </w:p>
        </w:tc>
      </w:tr>
      <w:tr>
        <w:tc>
          <w:tcPr>
            <w:tcW w:type="dxa" w:w="4608"/>
            <w:vAlign w:val="top"/>
          </w:tcPr>
          <w:p>
            <w:r>
              <w:t>Finger-trap accretion and locking</w:t>
            </w:r>
          </w:p>
        </w:tc>
        <w:tc>
          <w:tcPr>
            <w:tcW w:type="dxa" w:w="2304"/>
            <w:vAlign w:val="top"/>
          </w:tcPr>
          <w:p>
            <w:r>
              <w:t>Observed</w:t>
            </w:r>
          </w:p>
        </w:tc>
        <w:tc>
          <w:tcPr>
            <w:tcW w:type="dxa" w:w="3600"/>
            <w:vAlign w:val="top"/>
          </w:tcPr>
          <w:p>
            <w:r>
              <w:t>Broader scene-family testing pending</w:t>
            </w:r>
          </w:p>
        </w:tc>
      </w:tr>
      <w:tr>
        <w:tc>
          <w:tcPr>
            <w:tcW w:type="dxa" w:w="4608"/>
            <w:vAlign w:val="top"/>
          </w:tcPr>
          <w:p>
            <w:r>
              <w:t>Universal relational Commons class</w:t>
            </w:r>
          </w:p>
        </w:tc>
        <w:tc>
          <w:tcPr>
            <w:tcW w:type="dxa" w:w="2304"/>
            <w:vAlign w:val="top"/>
          </w:tcPr>
          <w:p>
            <w:r>
              <w:t>Open</w:t>
            </w:r>
          </w:p>
        </w:tc>
        <w:tc>
          <w:tcPr>
            <w:tcW w:type="dxa" w:w="3600"/>
            <w:vAlign w:val="top"/>
          </w:tcPr>
          <w:p>
            <w:r>
              <w:t>Not established</w:t>
            </w:r>
          </w:p>
        </w:tc>
      </w:tr>
      <w:tr>
        <w:tc>
          <w:tcPr>
            <w:tcW w:type="dxa" w:w="4608"/>
            <w:vAlign w:val="top"/>
          </w:tcPr>
          <w:p>
            <w:r>
              <w:t>Critical entropy transition</w:t>
            </w:r>
          </w:p>
        </w:tc>
        <w:tc>
          <w:tcPr>
            <w:tcW w:type="dxa" w:w="2304"/>
            <w:vAlign w:val="top"/>
          </w:tcPr>
          <w:p>
            <w:r>
              <w:t>Not claimed</w:t>
            </w:r>
          </w:p>
        </w:tc>
        <w:tc>
          <w:tcPr>
            <w:tcW w:type="dxa" w:w="3600"/>
            <w:vAlign w:val="top"/>
          </w:tcPr>
          <w:p>
            <w:r>
              <w:t>Threshold-specific result only</w:t>
            </w:r>
          </w:p>
        </w:tc>
      </w:tr>
      <w:tr>
        <w:tc>
          <w:tcPr>
            <w:tcW w:type="dxa" w:w="4608"/>
            <w:vAlign w:val="top"/>
          </w:tcPr>
          <w:p>
            <w:r>
              <w:t>Dynamical Commons persistence</w:t>
            </w:r>
          </w:p>
        </w:tc>
        <w:tc>
          <w:tcPr>
            <w:tcW w:type="dxa" w:w="2304"/>
            <w:vAlign w:val="top"/>
          </w:tcPr>
          <w:p>
            <w:r>
              <w:t>Open</w:t>
            </w:r>
          </w:p>
        </w:tc>
        <w:tc>
          <w:tcPr>
            <w:tcW w:type="dxa" w:w="3600"/>
            <w:vAlign w:val="top"/>
          </w:tcPr>
          <w:p>
            <w:r>
              <w:t>Static initial-slice program</w:t>
            </w:r>
          </w:p>
        </w:tc>
      </w:tr>
      <w:tr>
        <w:tc>
          <w:tcPr>
            <w:tcW w:type="dxa" w:w="4608"/>
            <w:vAlign w:val="top"/>
          </w:tcPr>
          <w:p>
            <w:r>
              <w:t>Real parent-context persistence</w:t>
            </w:r>
          </w:p>
        </w:tc>
        <w:tc>
          <w:tcPr>
            <w:tcW w:type="dxa" w:w="2304"/>
            <w:vAlign w:val="top"/>
          </w:tcPr>
          <w:p>
            <w:r>
              <w:t>Open</w:t>
            </w:r>
          </w:p>
        </w:tc>
        <w:tc>
          <w:tcPr>
            <w:tcW w:type="dxa" w:w="3600"/>
            <w:vAlign w:val="top"/>
          </w:tcPr>
          <w:p>
            <w:r>
              <w:t>Λ_Π uncalibrated</w:t>
            </w:r>
          </w:p>
        </w:tc>
      </w:tr>
      <w:tr>
        <w:tc>
          <w:tcPr>
            <w:tcW w:type="dxa" w:w="3264"/>
          </w:tcPr>
          <w:p>
            <w:r>
              <w:t>Commons class phenomenon</w:t>
            </w:r>
          </w:p>
        </w:tc>
        <w:tc>
          <w:tcPr>
            <w:tcW w:type="dxa" w:w="3264"/>
          </w:tcPr>
          <w:p>
            <w:r>
              <w:t>Stabilized</w:t>
            </w:r>
          </w:p>
        </w:tc>
        <w:tc>
          <w:tcPr>
            <w:tcW w:type="dxa" w:w="3264"/>
          </w:tcPr>
          <w:p>
            <w:r>
              <w:t>Tested BL many-source class; radial-profile-preserving arrangement ensemble and nested source-count families</w:t>
            </w:r>
          </w:p>
        </w:tc>
      </w:tr>
    </w:tbl>
    <w:p>
      <w:pPr>
        <w:pStyle w:val="Heading1"/>
      </w:pPr>
      <w:r>
        <w:t>25. Remaining promotion gates</w:t>
      </w:r>
    </w:p>
    <w:p>
      <w:pPr>
        <w:pStyle w:val="Heading2"/>
      </w:pPr>
      <w:r>
        <w:t>25.1 Broader null families</w:t>
      </w:r>
    </w:p>
    <w:p>
      <w:r>
        <w:t>The trough-occurrence null is now complete for the within-scene enrichment question. Remaining null work should test whether the stabilized class claim survives broader controls, including alternative spatial-correlation models, anisotropic nulls, uniform-volume roster scrambles, and matched two-point-clustering ensembles.</w:t>
      </w:r>
    </w:p>
    <w:p>
      <w:r>
        <w:t>Future nulls should challenge the specific scope that remains untested rather than repeat the completed source-distance-matched occurrence test.</w:t>
      </w:r>
    </w:p>
    <w:p>
      <w:pPr>
        <w:pStyle w:val="ListBullet"/>
      </w:pPr>
      <w:r>
        <w:t>spatial correlation;</w:t>
      </w:r>
    </w:p>
    <w:p>
      <w:pPr>
        <w:pStyle w:val="ListBullet"/>
      </w:pPr>
      <w:r>
        <w:t>amplitude distribution;</w:t>
      </w:r>
    </w:p>
    <w:p>
      <w:pPr>
        <w:pStyle w:val="ListBullet"/>
      </w:pPr>
      <w:r>
        <w:t>entropy distribution;</w:t>
      </w:r>
    </w:p>
    <w:p>
      <w:pPr>
        <w:pStyle w:val="ListBullet"/>
      </w:pPr>
      <w:r>
        <w:t>local smoothness;</w:t>
      </w:r>
    </w:p>
    <w:p>
      <w:pPr>
        <w:pStyle w:val="ListBullet"/>
      </w:pPr>
      <w:r>
        <w:t>domain geometry;</w:t>
      </w:r>
    </w:p>
    <w:p>
      <w:pPr>
        <w:pStyle w:val="ListBullet"/>
      </w:pPr>
      <w:r>
        <w:t>masks;</w:t>
      </w:r>
    </w:p>
    <w:p>
      <w:pPr>
        <w:pStyle w:val="ListBullet"/>
      </w:pPr>
      <w:r>
        <w:t>sampling procedure;</w:t>
      </w:r>
    </w:p>
    <w:p>
      <w:pPr>
        <w:pStyle w:val="ListBullet"/>
      </w:pPr>
      <w:r>
        <w:t>trough-extraction procedure.</w:t>
      </w:r>
    </w:p>
    <w:p>
      <w:r>
        <w:t>The next question is whether Commons-class enrichment and connectivity survive null families that alter the large-scale organization while preserving other declared scene statistics.</w:t>
      </w:r>
    </w:p>
    <w:p>
      <w:pPr>
        <w:pStyle w:val="Heading2"/>
      </w:pPr>
      <w:r>
        <w:t>25.2 Broader scene-class variation</w:t>
      </w:r>
    </w:p>
    <w:p>
      <w:r>
        <w:t>The class-level result is stabilized across the currently tested BL families, but broader scene-class variation remains open. Future work should vary source count more densely, mass hierarchy, morphology, spatial arrangement, radial profile, clustering statistics, physical scale, and eventually initial-data family.</w:t>
      </w:r>
    </w:p>
    <w:p>
      <w:r>
        <w:t>The question is no longer whether the phenomenon appears at all, but which scene-complexity variables control its abundance, onset interval, morphology, carrier architecture, and connectivity.</w:t>
      </w:r>
    </w:p>
    <w:p>
      <w:pPr>
        <w:pStyle w:val="Heading2"/>
      </w:pPr>
      <w:r>
        <w:t>25.3 Parent-context calibration</w:t>
      </w:r>
    </w:p>
    <w:p>
      <w:r>
        <w:t>The physical unresolved exterior must be bounded. A calibrated Λ_Π would permit comparison between real exterior-context uncertainty, local Commons floor depth, carrier-renegotiation scale, and trough-evaporation scale.</w:t>
      </w:r>
    </w:p>
    <w:p>
      <w:r>
        <w:t>Until that calibration exists, every promoted Commons claim retains the same ceiling: persistence under the real unresolved exterior environment is not claimed.</w:t>
      </w:r>
    </w:p>
    <w:p>
      <w:pPr>
        <w:pStyle w:val="Heading1"/>
      </w:pPr>
      <w:r>
        <w:t>25. Failure conditions</w:t>
      </w:r>
    </w:p>
    <w:p>
      <w:r>
        <w:t>The present interpretation should weaken if future work shows that:</w:t>
      </w:r>
    </w:p>
    <w:p>
      <w:pPr>
        <w:pStyle w:val="ListBullet"/>
      </w:pPr>
      <w:r>
        <w:t>comparable trough populations arise routinely in appropriately matched random-field nulls;</w:t>
      </w:r>
    </w:p>
    <w:p>
      <w:pPr>
        <w:pStyle w:val="ListBullet"/>
      </w:pPr>
      <w:r>
        <w:t>the eight reproduced troughs disappear across independent scene families;</w:t>
      </w:r>
    </w:p>
    <w:p>
      <w:pPr>
        <w:pStyle w:val="ListBullet"/>
      </w:pPr>
      <w:r>
        <w:t>carrier stability is destroyed by modest lawful registration changes;</w:t>
      </w:r>
    </w:p>
    <w:p>
      <w:pPr>
        <w:pStyle w:val="ListBullet"/>
      </w:pPr>
      <w:r>
        <w:t>carrier persistence depends strongly on an arbitrary ρ_s threshold;</w:t>
      </w:r>
    </w:p>
    <w:p>
      <w:pPr>
        <w:pStyle w:val="ListBullet"/>
      </w:pPr>
      <w:r>
        <w:t>entropy structure changes qualitatively under neighboring lawful scalarizations;</w:t>
      </w:r>
    </w:p>
    <w:p>
      <w:pPr>
        <w:pStyle w:val="ListBullet"/>
      </w:pPr>
      <w:r>
        <w:t>larger or anisotropically matched null ensembles absorb the H ≥ 0.85 backbone result;</w:t>
      </w:r>
    </w:p>
    <w:p>
      <w:pPr>
        <w:pStyle w:val="ListBullet"/>
      </w:pPr>
      <w:r>
        <w:t>the apparent backbone is explained by a missed correlation structure;</w:t>
      </w:r>
    </w:p>
    <w:p>
      <w:pPr>
        <w:pStyle w:val="ListBullet"/>
      </w:pPr>
      <w:r>
        <w:t>calibrated parent context lies routinely above the observed trough survival scale;</w:t>
      </w:r>
    </w:p>
    <w:p>
      <w:pPr>
        <w:pStyle w:val="ListBullet"/>
      </w:pPr>
      <w:r>
        <w:t>resolved-versus-compressed comparisons show no measurable loss associated with Commons structure;</w:t>
      </w:r>
    </w:p>
    <w:p>
      <w:pPr>
        <w:pStyle w:val="ListBullet"/>
      </w:pPr>
      <w:r>
        <w:t>no downstream diagnostic gains information from tracking the Commons.</w:t>
      </w:r>
    </w:p>
    <w:p>
      <w:r>
        <w:t>Failure would not invalidate registered ablation. It would define the limits of the Commons layer.</w:t>
      </w:r>
    </w:p>
    <w:p>
      <w:pPr>
        <w:pStyle w:val="Heading1"/>
      </w:pPr>
      <w:r>
        <w:t>26. Discussion</w:t>
      </w:r>
    </w:p>
    <w:p>
      <w:r>
        <w:t>The Commons result is not compelling because the interstitial field looks intricate. The result is compelling because several initially plausible trivial explanations have already failed.</w:t>
      </w:r>
    </w:p>
    <w:p>
      <w:r>
        <w:t>A low tidal amplitude could be uninteresting. A high attribution entropy could be uninteresting. A large connected region could be ordinary correlated percolation. A recurring carrier roster could be accidental. A persistence algorithm could simply preserve everything.</w:t>
      </w:r>
    </w:p>
    <w:p>
      <w:r>
        <w:t>The present evidence narrows those possibilities. Eight troughs survive refinement and roster perturbation. One does not. The same candidate that fails refinement also fails repeated roster perturbation, exterior forcing, and carrier persistence.</w:t>
      </w:r>
    </w:p>
    <w:p>
      <w:r>
        <w:t>The high-entropy backbone exceeds the immediate occupancy- and correlation-matched null only at the thresholds where the lab promotes it. At lower thresholds the null wins, and the claim stops.</w:t>
      </w:r>
    </w:p>
    <w:p>
      <w:r>
        <w:t>The eight surviving troughs then retain highly stable source-amplitude rankings and carrier memberships. Their geometry persists. Their cast persists. Finally, exterior forcing begins to alter the cast before it destroys the stage.</w:t>
      </w:r>
    </w:p>
    <w:p>
      <w:r>
        <w:t>That sequence gives the Commons program its present scientific shape. The interstitial region is not merely a low-field remainder between stronger sources. In the tested scene, it contains locations where the net tidal amplitude is unusually small while the source-conditioned relational structure remains dense, persistent, and organized.</w:t>
      </w:r>
    </w:p>
    <w:p>
      <w:r>
        <w:t>A useful descriptive phrase is relationally crowded quiet zones. The phrase should not outrun the mathematics, but it captures the measured conjunction: the field amplitude is low; the attribution structure is not empty.</w:t>
      </w:r>
    </w:p>
    <w:p>
      <w:r>
        <w:t>This is also why the carrier result matters. Without carrier persistence, the reproduced troughs could still be stable features of a scalar field whose internal source interpretation wandered arbitrarily. That is not what the internal perturbation experiment finds. Within the tested family, the source-participation architecture is nearly locked.</w:t>
      </w:r>
    </w:p>
    <w:p>
      <w:r>
        <w:t>Yet the context sweep shows that this lock is conditional. Once an exterior contribution becomes comparable to the trough's own balance scale, source custody can re-deal.</w:t>
      </w:r>
    </w:p>
    <w:p>
      <w:r>
        <w:t>The most important conceptual result may therefore be neither the trough nor the backbone individually. It may be the emergence of a measurable hierarchy of relational persistence: the place can persist; the attribution can persist; and the attribution can eventually change while the place survives.</w:t>
      </w:r>
    </w:p>
    <w:p>
      <w:r>
        <w:t>That is precisely the kind of context calculus Relational Labs was created to study. GR supplies the local geometry. The Commons program asks how relational attribution is organized within it.</w:t>
      </w:r>
    </w:p>
    <w:p>
      <w:pPr>
        <w:pStyle w:val="Heading1"/>
      </w:pPr>
      <w:r>
        <w:t>27. Conclusion</w:t>
      </w:r>
    </w:p>
    <w:p>
      <w:r>
        <w:t>The Commons campaign now establishes a stabilized class-level internal result.</w:t>
      </w:r>
    </w:p>
    <w:p>
      <w:r>
        <w:t>Eight reproduce under spatial refinement and controlled source-roster perturbations. One repeatedly fails and is retained as a fragile canary.</w:t>
      </w:r>
    </w:p>
    <w:p>
      <w:r>
        <w:t>At H ≥ 0.85, the disputed high-entropy region contains a dominant connected component whose share exceeds all 20 occupancy- and correlation-matched Gaussian null realizations tested. At lower entropy thresholds, that connectivity is not distinguishable from the declared null and is not promoted.</w:t>
      </w:r>
    </w:p>
    <w:p>
      <w:r>
        <w:t>The eight reproduced troughs also preserve highly stable source-carrier architecture. Carrier-set overlap remains high. Source-amplitude rankings remain nearly fixed. The named Lalande 21185, Stein 2051 B, and GJ 412 A carrier set remains present at the primary trough throughout the tested internal-family perturbations.</w:t>
      </w:r>
    </w:p>
    <w:p>
      <w:r>
        <w:t>Under imposed exterior context, however, carrier participation can reorganize before trough evaporation.</w:t>
      </w:r>
    </w:p>
    <w:p>
      <w:pPr>
        <w:pStyle w:val="Equation"/>
      </w:pPr>
      <w:r>
        <w:t>object persistence ≠ carrier persistence ≠ carrier renegotiation</w:t>
      </w:r>
    </w:p>
    <w:p>
      <w:r>
        <w:t>The first two are reproduced within the declared LSN-66 family. The third is observed in the controlled exterior-context lane.</w:t>
      </w:r>
    </w:p>
    <w:p>
      <w:r>
        <w:t>The term relational Commons names this combined phenomenology. It does not divide the field. It does not add new physics. It does not convert attribution into ownership.</w:t>
      </w:r>
    </w:p>
    <w:p>
      <w:r>
        <w:t>It provides a diagnostic language for a newly visible part of the solved scene: the interstitial regime in which tidal amplitude can become quiet while relational attribution remains crowded, persistent, and context-sensitive.</w:t>
      </w:r>
    </w:p>
    <w:p>
      <w:r>
        <w:t>The Commons has therefore crossed the threshold from visual discovery to reproduced internal result. The next promotion will depend on three harder tests: whether the trough population defeats an occurrence null, whether the structure survives genuinely different scene families, and whether the unresolved parent context can be calibrated strongly enough to bound its physical persistence.</w:t>
      </w:r>
    </w:p>
    <w:p>
      <w:r>
        <w:t>Until then, the result is narrow, reproducible, and worth preserving.</w:t>
      </w:r>
    </w:p>
    <w:p>
      <w:pPr>
        <w:jc w:val="center"/>
      </w:pPr>
      <w:r>
        <w:rPr>
          <w:b/>
        </w:rPr>
        <w:t>The field is seamless. The quiet between the sources has an anatomy.</w:t>
      </w:r>
    </w:p>
    <w:p>
      <w:pPr>
        <w:pStyle w:val="Heading1"/>
      </w:pPr>
      <w:r>
        <w:t>Standard limitation footer</w:t>
      </w:r>
    </w:p>
    <w:p>
      <w:r>
        <w:t>Parent-context limitation. All promoted persistence claims are demonstrated only within the declared LSN-66 static roster family and its controlled perturbation suites. The physical parent-context uncertainty parameter Λ_Π remains uncalibrated. Persistence under the real unresolved exterior environment is not claimed.</w:t>
      </w:r>
    </w:p>
    <w:p>
      <w:pPr>
        <w:pStyle w:val="Heading1"/>
      </w:pPr>
      <w:r>
        <w:t>Appendix A. Publication Figure Work Orders</w:t>
      </w:r>
    </w:p>
    <w:p>
      <w:pPr>
        <w:pStyle w:val="Heading2"/>
      </w:pPr>
      <w:r>
        <w:t>Figure 1. Measurement architecture</w:t>
      </w:r>
    </w:p>
    <w:p>
      <w:r>
        <w:t>Show E^(full)_ij → Δ_sE_ij → T, S_s, C_s, ρ_s, p_s, H → trough/carrier/backbone diagnostics. Caption must state that tensor fields are primary evidence and all later objects are derived diagnostics.</w:t>
      </w:r>
    </w:p>
    <w:p>
      <w:pPr>
        <w:pStyle w:val="Heading2"/>
      </w:pPr>
      <w:r>
        <w:t>Figure 2. Nine-trough baseline census</w:t>
      </w:r>
    </w:p>
    <w:p>
      <w:r>
        <w:t>Use COMMONS_SURVEY_001. Plot the nine candidate coordinates directly from frozen JSON; distinguish the reproduced eight from idx 7. Include a table of coordinate, ||E||_F, H, carrier count, and final status.</w:t>
      </w:r>
    </w:p>
    <w:p>
      <w:pPr>
        <w:pStyle w:val="Heading2"/>
      </w:pPr>
      <w:r>
        <w:t>Figure 3. Resolution persistence</w:t>
      </w:r>
    </w:p>
    <w:p>
      <w:r>
        <w:t>Compare baseline and 96^3 centers. Plot candidate ID versus center drift with baseline lattice spacing Δx ≈ 0.24 as reference. Treat idx 7 as failed rather than assigning misleading extreme drift.</w:t>
      </w:r>
    </w:p>
    <w:p>
      <w:pPr>
        <w:pStyle w:val="Heading2"/>
      </w:pPr>
      <w:r>
        <w:t>Figure 4. Roster-family persistence matrix</w:t>
      </w:r>
    </w:p>
    <w:p>
      <w:r>
        <w:t>Rows: trough IDs 1–9. Columns: two jitter seeds, ±3% mass, alternating, drop-four-faintest. Cells: survived/failed and optional drift. Expose idx 7 failures.</w:t>
      </w:r>
    </w:p>
    <w:p>
      <w:pPr>
        <w:pStyle w:val="Heading2"/>
      </w:pPr>
      <w:r>
        <w:t>Figure 5. Threshold sensitivity</w:t>
      </w:r>
    </w:p>
    <w:p>
      <w:r>
        <w:t>Plot H threshold versus disputed-trough count using (0.70,13), (0.75,9), (0.80,2). Interpret as smooth threshold dependence, not a critical transition.</w:t>
      </w:r>
    </w:p>
    <w:p>
      <w:pPr>
        <w:pStyle w:val="Heading2"/>
      </w:pPr>
      <w:r>
        <w:t>Figure 6. Backbone versus matched percolation null</w:t>
      </w:r>
    </w:p>
    <w:p>
      <w:r>
        <w:t>For each threshold, report occupancy, real largest-component share, all 20 null shares, null median, and null maximum. Emphasize H ≥ 0.85 and H ≥ 0.88; show lower thresholds inside null. Report 0/20 exceedances, not a universal p-value.</w:t>
      </w:r>
    </w:p>
    <w:p>
      <w:pPr>
        <w:pStyle w:val="Heading2"/>
      </w:pPr>
      <w:r>
        <w:t>Figure 7. Carrier-persistence summary</w:t>
      </w:r>
    </w:p>
    <w:p>
      <w:r>
        <w:t>Use COMMONS_CARRIER_PERSISTENCE_001. Show Jaccard, Spearman, top-five retention, entropy drift, and center drift across eight troughs and seven variants.</w:t>
      </w:r>
    </w:p>
    <w:p>
      <w:pPr>
        <w:pStyle w:val="Heading2"/>
      </w:pPr>
      <w:r>
        <w:t>Figure 8. Named primary-trough carrier recurrence</w:t>
      </w:r>
    </w:p>
    <w:p>
      <w:r>
        <w:t>Plot Lalande 21185, Stein 2051 B, and GJ 412 A residual series across variants. Verify the exact stored Ψ_s convention from the canonical script before publication.</w:t>
      </w:r>
    </w:p>
    <w:p>
      <w:pPr>
        <w:pStyle w:val="Heading2"/>
      </w:pPr>
      <w:r>
        <w:t>Figure 9. Canary autopsy</w:t>
      </w:r>
    </w:p>
    <w:p>
      <w:r>
        <w:t>Four-axis failure panel for idx 7: resolution, roster perturbation, exterior context, and carrier persistence. Show J=0, Spearman≈0.6, and absent-trough interpretation.</w:t>
      </w:r>
    </w:p>
    <w:p>
      <w:pPr>
        <w:pStyle w:val="Heading2"/>
      </w:pPr>
      <w:r>
        <w:t>Figure 10. Exterior-context custody renegotiation</w:t>
      </w:r>
    </w:p>
    <w:p>
      <w:r>
        <w:t>Plot imposed exterior amplitude against trough amplitude, carrier membership, selected ρ_s, named-source response, and trough survival. Show stable trough/stable custody → stable trough/changed custody → evaporation.</w:t>
      </w:r>
    </w:p>
    <w:p>
      <w:pPr>
        <w:pStyle w:val="Heading2"/>
      </w:pPr>
      <w:r>
        <w:t>Figure 11. Claim hierarchy</w:t>
      </w:r>
    </w:p>
    <w:p>
      <w:r>
        <w:t>Schematic from E_ij to Δ_sE_ij to derived channels to Commons objects to object persistence, carrier persistence, and carrier renegotiation. Label first two Reproduced in-family and third Observed.</w:t>
      </w:r>
    </w:p>
    <w:p>
      <w:pPr>
        <w:pStyle w:val="Heading1"/>
      </w:pPr>
      <w:r>
        <w:t>Appendix B. Publication Freeze Checklist</w:t>
      </w:r>
    </w:p>
    <w:p>
      <w:pPr>
        <w:pStyle w:val="ListNumber"/>
      </w:pPr>
      <w:r>
        <w:t>Open commons_carrier_persistence_001.mjs and confirm the exact code definition of ρ_s.</w:t>
      </w:r>
    </w:p>
    <w:p>
      <w:pPr>
        <w:pStyle w:val="ListNumber"/>
      </w:pPr>
      <w:r>
        <w:t>Confirm the carrier test is exactly ρ_s &gt; 0.5.</w:t>
      </w:r>
    </w:p>
    <w:p>
      <w:pPr>
        <w:pStyle w:val="ListNumber"/>
      </w:pPr>
      <w:r>
        <w:t>Confirm the exact stored definition of Ψ_s.</w:t>
      </w:r>
    </w:p>
    <w:p>
      <w:pPr>
        <w:pStyle w:val="ListNumber"/>
      </w:pPr>
      <w:r>
        <w:t>Confirm whether zero-denominator regularization is used in ρ_s, and report it.</w:t>
      </w:r>
    </w:p>
    <w:p>
      <w:pPr>
        <w:pStyle w:val="ListNumber"/>
      </w:pPr>
      <w:r>
        <w:t>Confirm entropy uses p_s = S_s / Σ_k S_k.</w:t>
      </w:r>
    </w:p>
    <w:p>
      <w:pPr>
        <w:pStyle w:val="ListNumber"/>
      </w:pPr>
      <w:r>
        <w:t>Confirm normalized entropy is H = ℋ / ln N.</w:t>
      </w:r>
    </w:p>
    <w:p>
      <w:pPr>
        <w:pStyle w:val="ListNumber"/>
      </w:pPr>
      <w:r>
        <w:t>Confirm whether N = 66 everywhere or whether N means active roster size after source-dropping variants.</w:t>
      </w:r>
    </w:p>
    <w:p>
      <w:pPr>
        <w:pStyle w:val="ListNumber"/>
      </w:pPr>
      <w:r>
        <w:t>If N changes in the drop-four-faintest variant, verify that entropy comparisons use the intended normalization.</w:t>
      </w:r>
    </w:p>
    <w:p>
      <w:pPr>
        <w:pStyle w:val="ListNumber"/>
      </w:pPr>
      <w:r>
        <w:t>Confirm the Gaussian-null correlation estimator producing σ = 1.69 cells.</w:t>
      </w:r>
    </w:p>
    <w:p>
      <w:pPr>
        <w:pStyle w:val="ListNumber"/>
      </w:pPr>
      <w:r>
        <w:t>Confirm occupancy is independently matched at every null threshold.</w:t>
      </w:r>
    </w:p>
    <w:p>
      <w:pPr>
        <w:pStyle w:val="ListNumber"/>
      </w:pPr>
      <w:r>
        <w:t>Export the complete 20-null distributions, not only median and maximum.</w:t>
      </w:r>
    </w:p>
    <w:p>
      <w:pPr>
        <w:pStyle w:val="ListNumber"/>
      </w:pPr>
      <w:r>
        <w:t>Freeze the trough-correspondence rule used between baseline and variants.</w:t>
      </w:r>
    </w:p>
    <w:p>
      <w:pPr>
        <w:pStyle w:val="ListNumber"/>
      </w:pPr>
      <w:r>
        <w:t>Freeze the treatment of absent troughs so failure cannot be converted into extreme drift.</w:t>
      </w:r>
    </w:p>
    <w:p>
      <w:pPr>
        <w:pStyle w:val="ListNumber"/>
      </w:pPr>
      <w:r>
        <w:t>Hash all figure-source tables.</w:t>
      </w:r>
    </w:p>
    <w:p>
      <w:pPr>
        <w:pStyle w:val="ListNumber"/>
      </w:pPr>
      <w:r>
        <w:t>Generate figures only from frozen tables.</w:t>
      </w:r>
    </w:p>
    <w:p>
      <w:pPr>
        <w:pStyle w:val="ListNumber"/>
      </w:pPr>
      <w:r>
        <w:t>Store one manifest mapping every figure panel to its source packet and derivation script.</w:t>
      </w:r>
    </w:p>
    <w:p>
      <w:pPr>
        <w:pStyle w:val="ListNumber"/>
      </w:pPr>
      <w:r>
        <w:t>Preserve idx 7 permanently as the designated canary.</w:t>
      </w:r>
    </w:p>
    <w:p>
      <w:pPr>
        <w:pStyle w:val="ListNumber"/>
      </w:pPr>
      <w:r>
        <w:t>Attach the standard Λ_Π limitation to every promoted claim.</w:t>
      </w:r>
    </w:p>
    <w:p>
      <w:pPr>
        <w:pStyle w:val="ListNumber"/>
      </w:pPr>
      <w:r>
        <w:t>Keep webbing and finger-trap results outside the reproduced core until separately hardened.</w:t>
      </w:r>
    </w:p>
    <w:p>
      <w:pPr>
        <w:pStyle w:val="Heading1"/>
      </w:pPr>
      <w:r>
        <w:t>References</w:t>
      </w:r>
    </w:p>
    <w:p>
      <w:pPr>
        <w:ind w:hanging="360" w:left="360"/>
      </w:pPr>
      <w:r>
        <w:t>Brill, D. R., and Lindquist, R. W. “Interaction Energy in Geometrostatics.” Physical Review 131, 471–476 (1963).</w:t>
      </w:r>
    </w:p>
    <w:p>
      <w:pPr>
        <w:ind w:hanging="360" w:left="360"/>
      </w:pPr>
      <w:r>
        <w:t>Gourgoulhon, E. “3+1 Formalism and Bases of Numerical Relativity.” arXiv:gr-qc/0703035 (2007).</w:t>
      </w:r>
    </w:p>
    <w:p>
      <w:pPr>
        <w:ind w:hanging="360" w:left="360"/>
      </w:pPr>
      <w:r>
        <w:t>Nichols, D. A., et al. “Visualizing Spacetime Curvature via Frame-Drag Vortexes and Tidal Tendexes. I. General Theory and Weak-Gravity Applications.” Physical Review D 84, 124014 (2011).</w:t>
      </w:r>
    </w:p>
    <w:p>
      <w:pPr>
        <w:ind w:hanging="360" w:left="360"/>
      </w:pPr>
      <w:r>
        <w:t>Shannon, C. E. “A Mathematical Theory of Communication.” Bell System Technical Journal 27, 379–423 and 623–656 (1948).</w:t>
      </w:r>
    </w:p>
    <w:p>
      <w:pPr>
        <w:ind w:hanging="360" w:left="360"/>
      </w:pPr>
      <w:r>
        <w:t>Scieszinski, D. “The Gravitational Coherence Surface: Registered Ablation Parity in Relational Gravitational Scenes.” Relational Labs, revised founding formulation (2026).</w:t>
      </w:r>
    </w:p>
    <w:p>
      <w:pPr>
        <w:ind w:hanging="360" w:left="360"/>
      </w:pPr>
      <w:r>
        <w:t>Scieszinski, D. “Many-Source Parity Networks: Registered Ablation Signatures in Fused Gravitational Scenes.” Relational Labs (2026).</w:t>
      </w:r>
    </w:p>
    <w:p>
      <w:pPr>
        <w:ind w:hanging="360" w:left="360"/>
      </w:pPr>
      <w:r>
        <w:t>Scieszinski, D. “Mesoscale Gravitational Readability: Persistence, Margins, and Relational Complexes Between Local Curvature and Coarse Summary.” Relational Labs (2026).</w:t>
      </w:r>
    </w:p>
    <w:p>
      <w:pPr>
        <w:ind w:hanging="360" w:left="360"/>
      </w:pPr>
      <w:r>
        <w:t>Scieszinski, D. “The Nesting Domain Handoff Problem: Registered Ablation, Parent–Child Context, and Multiscale Gravitational Scenes.” Relational Labs (2026).</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Relational Labs · Internal Research White Paper v0.4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80"/>
      <w:ind w:left="504"/>
    </w:pPr>
    <w:rPr>
      <w:rFonts w:ascii="Cambria Math" w:hAnsi="Cambria Math"/>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