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0AEC7" w14:textId="3F9B3AEC" w:rsidR="00091F9C" w:rsidRDefault="00091F9C" w:rsidP="00091F9C">
      <w:pPr>
        <w:spacing w:after="0" w:line="240" w:lineRule="auto"/>
        <w:jc w:val="center"/>
        <w:rPr>
          <w:b/>
          <w:bCs/>
          <w:sz w:val="32"/>
          <w:szCs w:val="32"/>
        </w:rPr>
      </w:pPr>
      <w:r>
        <w:rPr>
          <w:b/>
          <w:bCs/>
          <w:sz w:val="32"/>
          <w:szCs w:val="32"/>
        </w:rPr>
        <w:t>Moose Associates</w:t>
      </w:r>
      <w:r w:rsidR="00E27F80">
        <w:rPr>
          <w:b/>
          <w:bCs/>
          <w:sz w:val="32"/>
          <w:szCs w:val="32"/>
        </w:rPr>
        <w:t xml:space="preserve"> Report</w:t>
      </w:r>
    </w:p>
    <w:p w14:paraId="618E0905" w14:textId="77777777" w:rsidR="00091F9C" w:rsidRDefault="00091F9C" w:rsidP="00091F9C">
      <w:pPr>
        <w:spacing w:after="0" w:line="240" w:lineRule="auto"/>
        <w:jc w:val="center"/>
        <w:rPr>
          <w:b/>
          <w:bCs/>
        </w:rPr>
      </w:pPr>
      <w:r>
        <w:rPr>
          <w:b/>
          <w:bCs/>
        </w:rPr>
        <w:t>Daniel Smetana</w:t>
      </w:r>
    </w:p>
    <w:p w14:paraId="20FCE10E" w14:textId="77777777" w:rsidR="00091F9C" w:rsidRDefault="00091F9C" w:rsidP="00091F9C">
      <w:pPr>
        <w:spacing w:after="0" w:line="240" w:lineRule="auto"/>
        <w:jc w:val="center"/>
        <w:rPr>
          <w:b/>
          <w:bCs/>
        </w:rPr>
      </w:pPr>
      <w:r>
        <w:rPr>
          <w:b/>
          <w:bCs/>
        </w:rPr>
        <w:t>MABA Student, Carlson School of Management</w:t>
      </w:r>
    </w:p>
    <w:p w14:paraId="2052A091" w14:textId="77E6D734" w:rsidR="00091F9C" w:rsidRDefault="00091F9C" w:rsidP="00091F9C">
      <w:pPr>
        <w:spacing w:after="0" w:line="240" w:lineRule="auto"/>
        <w:jc w:val="center"/>
      </w:pPr>
      <w:r>
        <w:rPr>
          <w:b/>
          <w:bCs/>
        </w:rPr>
        <w:t>October 26</w:t>
      </w:r>
      <w:r>
        <w:rPr>
          <w:b/>
          <w:bCs/>
          <w:vertAlign w:val="superscript"/>
        </w:rPr>
        <w:t>th</w:t>
      </w:r>
      <w:r>
        <w:rPr>
          <w:b/>
          <w:bCs/>
        </w:rPr>
        <w:t>, 2020</w:t>
      </w:r>
    </w:p>
    <w:p w14:paraId="1CE6A349" w14:textId="77777777" w:rsidR="00091F9C" w:rsidRDefault="00091F9C" w:rsidP="00091F9C">
      <w:pPr>
        <w:spacing w:after="0" w:line="240" w:lineRule="auto"/>
        <w:jc w:val="center"/>
        <w:rPr>
          <w:b/>
          <w:bCs/>
        </w:rPr>
      </w:pPr>
    </w:p>
    <w:p w14:paraId="5712DB5E" w14:textId="77777777" w:rsidR="00091F9C" w:rsidRDefault="00091F9C" w:rsidP="00091F9C">
      <w:pPr>
        <w:spacing w:after="0" w:line="240" w:lineRule="auto"/>
        <w:jc w:val="center"/>
      </w:pPr>
    </w:p>
    <w:p w14:paraId="097699AA" w14:textId="77777777" w:rsidR="00091F9C" w:rsidRDefault="00091F9C" w:rsidP="00091F9C">
      <w:pPr>
        <w:spacing w:after="0" w:line="240" w:lineRule="auto"/>
      </w:pPr>
    </w:p>
    <w:p w14:paraId="25F1D38B" w14:textId="77777777" w:rsidR="00091F9C" w:rsidRDefault="00091F9C" w:rsidP="00091F9C">
      <w:pPr>
        <w:spacing w:after="0" w:line="240" w:lineRule="auto"/>
        <w:rPr>
          <w:b/>
          <w:bCs/>
          <w:sz w:val="28"/>
          <w:szCs w:val="28"/>
        </w:rPr>
      </w:pPr>
      <w:r>
        <w:rPr>
          <w:b/>
          <w:bCs/>
          <w:sz w:val="28"/>
          <w:szCs w:val="28"/>
        </w:rPr>
        <w:t>Table of Contents:</w:t>
      </w:r>
    </w:p>
    <w:p w14:paraId="494D4B98" w14:textId="77777777" w:rsidR="00091F9C" w:rsidRDefault="00091F9C" w:rsidP="00091F9C">
      <w:pPr>
        <w:spacing w:after="0" w:line="240" w:lineRule="auto"/>
        <w:rPr>
          <w:b/>
          <w:bCs/>
          <w:sz w:val="28"/>
          <w:szCs w:val="28"/>
        </w:rPr>
      </w:pPr>
    </w:p>
    <w:p w14:paraId="3559E6BA" w14:textId="5301B73D" w:rsidR="00091F9C" w:rsidRDefault="00091F9C" w:rsidP="00091F9C">
      <w:pPr>
        <w:spacing w:after="0" w:line="240" w:lineRule="auto"/>
      </w:pPr>
      <w:r>
        <w:t>1. Executive Summary……………………………………………………………………………………………………………………………. 1</w:t>
      </w:r>
    </w:p>
    <w:p w14:paraId="54F5459C" w14:textId="42185C39" w:rsidR="00091F9C" w:rsidRDefault="00091F9C" w:rsidP="00091F9C">
      <w:pPr>
        <w:spacing w:after="0" w:line="240" w:lineRule="auto"/>
      </w:pPr>
      <w:r>
        <w:t>2. Introduction……………………………………………………………………………………………………………………………………</w:t>
      </w:r>
      <w:r w:rsidR="00C6592E">
        <w:t>….. 2</w:t>
      </w:r>
    </w:p>
    <w:p w14:paraId="607C5BEB" w14:textId="768C5465" w:rsidR="00091F9C" w:rsidRDefault="00091F9C" w:rsidP="00091F9C">
      <w:pPr>
        <w:spacing w:after="0" w:line="240" w:lineRule="auto"/>
      </w:pPr>
      <w:r>
        <w:t>3. Analysis…………………………………………………………………………………………………………………………………………</w:t>
      </w:r>
      <w:r w:rsidR="00140D67">
        <w:t>.</w:t>
      </w:r>
      <w:r>
        <w:t xml:space="preserve"> </w:t>
      </w:r>
      <w:r w:rsidR="00C6592E">
        <w:t>3</w:t>
      </w:r>
      <w:r>
        <w:t>-</w:t>
      </w:r>
      <w:r w:rsidR="00140D67">
        <w:t>1</w:t>
      </w:r>
      <w:r w:rsidR="00C6592E">
        <w:t>1</w:t>
      </w:r>
    </w:p>
    <w:p w14:paraId="0DA7E776" w14:textId="44406AA6" w:rsidR="00091F9C" w:rsidRDefault="00091F9C" w:rsidP="00091F9C">
      <w:pPr>
        <w:spacing w:after="0" w:line="240" w:lineRule="auto"/>
      </w:pPr>
      <w:r>
        <w:t>4. Conclusion……………………………………………………………………………………………………………………………………</w:t>
      </w:r>
      <w:r w:rsidR="000A7957">
        <w:t>.11</w:t>
      </w:r>
      <w:r>
        <w:t>-</w:t>
      </w:r>
      <w:r w:rsidR="000A7957">
        <w:t>1</w:t>
      </w:r>
      <w:r w:rsidR="002E2287">
        <w:t>3</w:t>
      </w:r>
    </w:p>
    <w:p w14:paraId="7D674DCA" w14:textId="3CBE4C51" w:rsidR="00091F9C" w:rsidRDefault="00091F9C" w:rsidP="00091F9C">
      <w:pPr>
        <w:spacing w:after="0" w:line="240" w:lineRule="auto"/>
      </w:pPr>
      <w:r>
        <w:t>5. Appendix………………………………………………………………………………………………………………………………......</w:t>
      </w:r>
      <w:r w:rsidR="00DE68C9">
        <w:t>.</w:t>
      </w:r>
      <w:r w:rsidR="00F86235">
        <w:t>.</w:t>
      </w:r>
      <w:r>
        <w:t xml:space="preserve"> </w:t>
      </w:r>
      <w:r w:rsidR="002E2287">
        <w:t>13</w:t>
      </w:r>
      <w:r>
        <w:t>-</w:t>
      </w:r>
      <w:r w:rsidR="002E2287">
        <w:t>27</w:t>
      </w:r>
      <w:r>
        <w:tab/>
      </w:r>
    </w:p>
    <w:p w14:paraId="2684DE38" w14:textId="673D4FD8" w:rsidR="005359BA" w:rsidRDefault="005359BA"/>
    <w:p w14:paraId="1F5A473E" w14:textId="4E58579D" w:rsidR="00091F9C" w:rsidRDefault="00091F9C" w:rsidP="00B94F83">
      <w:pPr>
        <w:spacing w:after="0" w:line="480" w:lineRule="auto"/>
        <w:rPr>
          <w:b/>
          <w:bCs/>
          <w:sz w:val="28"/>
          <w:szCs w:val="28"/>
        </w:rPr>
      </w:pPr>
      <w:r>
        <w:rPr>
          <w:b/>
          <w:bCs/>
          <w:sz w:val="28"/>
          <w:szCs w:val="28"/>
        </w:rPr>
        <w:t>Executive Summary:</w:t>
      </w:r>
    </w:p>
    <w:p w14:paraId="5A806F66" w14:textId="6E08A067" w:rsidR="00091F9C" w:rsidRPr="00091F9C" w:rsidRDefault="00B94F83" w:rsidP="000E488C">
      <w:pPr>
        <w:spacing w:after="0" w:line="480" w:lineRule="auto"/>
      </w:pPr>
      <w:r>
        <w:rPr>
          <w:b/>
          <w:bCs/>
        </w:rPr>
        <w:tab/>
      </w:r>
      <w:r>
        <w:t xml:space="preserve">This report </w:t>
      </w:r>
      <w:r w:rsidR="00B85D7E">
        <w:t xml:space="preserve">was created to </w:t>
      </w:r>
      <w:r w:rsidR="0056780F">
        <w:t>examine t</w:t>
      </w:r>
      <w:r w:rsidR="00BF0819">
        <w:t xml:space="preserve">he </w:t>
      </w:r>
      <w:r w:rsidR="004C17D1">
        <w:t xml:space="preserve">previously undocumented </w:t>
      </w:r>
      <w:r w:rsidR="0056780F">
        <w:t>relationships</w:t>
      </w:r>
      <w:r w:rsidR="00BF0819">
        <w:t xml:space="preserve"> that</w:t>
      </w:r>
      <w:r w:rsidR="0056780F">
        <w:t xml:space="preserve"> exist between key </w:t>
      </w:r>
      <w:r w:rsidR="00185AA6">
        <w:t>aspects</w:t>
      </w:r>
      <w:r w:rsidR="0056780F">
        <w:t xml:space="preserve"> of an accounting firm and </w:t>
      </w:r>
      <w:r w:rsidR="002F6B5A">
        <w:t>the firm’s</w:t>
      </w:r>
      <w:r w:rsidR="0056780F">
        <w:t xml:space="preserve"> net revenue</w:t>
      </w:r>
      <w:r w:rsidR="001F51AA">
        <w:t xml:space="preserve">. </w:t>
      </w:r>
      <w:r w:rsidR="00BF0819">
        <w:t xml:space="preserve">Understanding these relationships </w:t>
      </w:r>
      <w:r w:rsidR="00927284">
        <w:t xml:space="preserve">is critical </w:t>
      </w:r>
      <w:r w:rsidR="000311C3">
        <w:t>in</w:t>
      </w:r>
      <w:r w:rsidR="00191934">
        <w:t xml:space="preserve"> comprehending what factors drive differences in overall success</w:t>
      </w:r>
      <w:r w:rsidR="00E241A8">
        <w:t xml:space="preserve"> </w:t>
      </w:r>
      <w:r w:rsidR="000311C3">
        <w:t xml:space="preserve">across the industry. </w:t>
      </w:r>
      <w:r w:rsidR="00A14775">
        <w:t xml:space="preserve">The </w:t>
      </w:r>
      <w:r w:rsidR="00CB1CC0">
        <w:t>analysis</w:t>
      </w:r>
      <w:r w:rsidR="00A14775">
        <w:t xml:space="preserve"> in this report was conducted using 2019 data from </w:t>
      </w:r>
      <w:r w:rsidR="00A14775">
        <w:rPr>
          <w:i/>
          <w:iCs/>
        </w:rPr>
        <w:t>Accounting Today</w:t>
      </w:r>
      <w:r w:rsidR="00A14775">
        <w:t xml:space="preserve"> about some of the United States’ top </w:t>
      </w:r>
      <w:r w:rsidR="008411FF">
        <w:t xml:space="preserve">accounting </w:t>
      </w:r>
      <w:r w:rsidR="00A14775">
        <w:t xml:space="preserve">firms, and was centered on answering the following key questions: “How do certain aspects of an accounting firm individually relate to </w:t>
      </w:r>
      <w:r w:rsidR="00CF227A">
        <w:t>the</w:t>
      </w:r>
      <w:r w:rsidR="00A14775">
        <w:t xml:space="preserve"> firm’s net revenue?”, “When looked at holistically, how do all of the factors together relate to </w:t>
      </w:r>
      <w:r w:rsidR="00CF227A">
        <w:t>the</w:t>
      </w:r>
      <w:r w:rsidR="00A14775">
        <w:t xml:space="preserve"> firm’s net revenue?” and “Are there any core differences between firms in different regions of the United States?”</w:t>
      </w:r>
      <w:r w:rsidR="001E3C1E">
        <w:t xml:space="preserve">. As will be </w:t>
      </w:r>
      <w:r w:rsidR="002F387F">
        <w:t xml:space="preserve">evidenced throughout this report, </w:t>
      </w:r>
      <w:r w:rsidR="00A942BF">
        <w:t xml:space="preserve">the number of offices, the number of partners and the number of employees a firm has all </w:t>
      </w:r>
      <w:r w:rsidR="006202A7">
        <w:t>act as probable predictors for the net revenue of the firm</w:t>
      </w:r>
      <w:r w:rsidR="005F0062">
        <w:t>, the degree to which being explained in detail in the analysis section</w:t>
      </w:r>
      <w:r w:rsidR="00CB1CC0">
        <w:t xml:space="preserve"> of this report</w:t>
      </w:r>
      <w:r w:rsidR="005F0062">
        <w:t xml:space="preserve">. </w:t>
      </w:r>
      <w:r w:rsidR="00435204">
        <w:t>Th</w:t>
      </w:r>
      <w:r w:rsidR="00B41672">
        <w:t>ese</w:t>
      </w:r>
      <w:r w:rsidR="00435204">
        <w:t xml:space="preserve"> probable relationship</w:t>
      </w:r>
      <w:r w:rsidR="00B41672">
        <w:t>s</w:t>
      </w:r>
      <w:r w:rsidR="00435204">
        <w:t xml:space="preserve"> will be shown to hold </w:t>
      </w:r>
      <w:r w:rsidR="00CB1CC0">
        <w:t>both when</w:t>
      </w:r>
      <w:r w:rsidR="00435204">
        <w:t xml:space="preserve"> considering each factor individually as </w:t>
      </w:r>
      <w:r w:rsidR="00D668CF">
        <w:t>it</w:t>
      </w:r>
      <w:r w:rsidR="00435204">
        <w:t xml:space="preserve"> relates to net revenue, and furthermore </w:t>
      </w:r>
      <w:r w:rsidR="001B2526">
        <w:t xml:space="preserve">when considering each factor as it relates to net revenue above and beyond that of all of the other factors. </w:t>
      </w:r>
      <w:r w:rsidR="00CB1CC0">
        <w:t>Additionally, this report will show</w:t>
      </w:r>
      <w:r w:rsidR="00D85442">
        <w:t>case</w:t>
      </w:r>
      <w:r w:rsidR="00CB1CC0">
        <w:t xml:space="preserve"> that</w:t>
      </w:r>
      <w:r w:rsidR="00065839">
        <w:t xml:space="preserve"> there are no key differences among accounting firms in the different regions examined, </w:t>
      </w:r>
      <w:r w:rsidR="000E488C">
        <w:t>holding all factors outside of</w:t>
      </w:r>
      <w:r w:rsidR="004A3E80">
        <w:t xml:space="preserve"> </w:t>
      </w:r>
      <w:r w:rsidR="000E488C">
        <w:t xml:space="preserve">region constant. </w:t>
      </w:r>
    </w:p>
    <w:p w14:paraId="5711D7C3" w14:textId="19E0D09A" w:rsidR="00091F9C" w:rsidRDefault="00091F9C" w:rsidP="00091F9C">
      <w:pPr>
        <w:spacing w:after="0" w:line="240" w:lineRule="auto"/>
        <w:rPr>
          <w:b/>
          <w:bCs/>
          <w:sz w:val="28"/>
          <w:szCs w:val="28"/>
        </w:rPr>
      </w:pPr>
      <w:r>
        <w:rPr>
          <w:b/>
          <w:bCs/>
          <w:sz w:val="28"/>
          <w:szCs w:val="28"/>
        </w:rPr>
        <w:lastRenderedPageBreak/>
        <w:t>Introduction:</w:t>
      </w:r>
    </w:p>
    <w:p w14:paraId="0D74E761" w14:textId="02BE60CD" w:rsidR="002E0135" w:rsidRDefault="002E0135" w:rsidP="002E0135">
      <w:pPr>
        <w:spacing w:after="0" w:line="240" w:lineRule="auto"/>
      </w:pPr>
    </w:p>
    <w:p w14:paraId="5C943E16" w14:textId="6A13BC5F" w:rsidR="002E0135" w:rsidRDefault="00334E25" w:rsidP="001F219C">
      <w:pPr>
        <w:spacing w:after="0" w:line="480" w:lineRule="auto"/>
        <w:ind w:firstLine="720"/>
      </w:pPr>
      <w:r>
        <w:t>Within this report,</w:t>
      </w:r>
      <w:r w:rsidR="00BC1471">
        <w:t xml:space="preserve"> </w:t>
      </w:r>
      <w:r w:rsidR="00740560">
        <w:t>data about the top accounting firms in the United States</w:t>
      </w:r>
      <w:r w:rsidR="00FB40A9">
        <w:t xml:space="preserve"> is analyzed. </w:t>
      </w:r>
      <w:r w:rsidR="00C43917">
        <w:t xml:space="preserve">This report ultimately aims to not only </w:t>
      </w:r>
      <w:r w:rsidR="00415BA6">
        <w:t>produce</w:t>
      </w:r>
      <w:r w:rsidR="00A422D4">
        <w:t xml:space="preserve"> tangible insight</w:t>
      </w:r>
      <w:r w:rsidR="00415BA6">
        <w:t>s</w:t>
      </w:r>
      <w:r w:rsidR="00A422D4">
        <w:t xml:space="preserve"> about </w:t>
      </w:r>
      <w:r w:rsidR="002913BB">
        <w:t>key aspects of the</w:t>
      </w:r>
      <w:r w:rsidR="00A422D4">
        <w:t xml:space="preserve"> </w:t>
      </w:r>
      <w:r w:rsidR="002913BB">
        <w:t>United States’</w:t>
      </w:r>
      <w:r w:rsidR="00A422D4">
        <w:t xml:space="preserve"> top accounting firms</w:t>
      </w:r>
      <w:r w:rsidR="00D25CC0">
        <w:t xml:space="preserve">, but also to </w:t>
      </w:r>
      <w:r w:rsidR="00F03CA4">
        <w:t>analyze the relationships between a firm’s</w:t>
      </w:r>
      <w:r w:rsidR="0007785B">
        <w:t xml:space="preserve"> net</w:t>
      </w:r>
      <w:r w:rsidR="00F03CA4">
        <w:t xml:space="preserve"> revenue and the factors that </w:t>
      </w:r>
      <w:r w:rsidR="004C3169">
        <w:t>are influencing it.</w:t>
      </w:r>
      <w:r w:rsidR="00461CEC">
        <w:t xml:space="preserve"> Using the data described in further detail below, </w:t>
      </w:r>
      <w:r w:rsidR="00F021E2">
        <w:t xml:space="preserve">this report will provide answers to </w:t>
      </w:r>
      <w:r w:rsidR="00B64686">
        <w:t xml:space="preserve">the key questions : </w:t>
      </w:r>
      <w:r w:rsidR="00D12EF8">
        <w:t>“</w:t>
      </w:r>
      <w:r w:rsidR="008C5A4E">
        <w:t>How do certain aspects of an accounting firm individually relate to a firm’s net revenue</w:t>
      </w:r>
      <w:r w:rsidR="003164E9">
        <w:t>?”, “</w:t>
      </w:r>
      <w:r w:rsidR="006D5540">
        <w:t>When looked at holistically, how do all</w:t>
      </w:r>
      <w:r w:rsidR="00353B27">
        <w:t xml:space="preserve"> of the factors together relate to a </w:t>
      </w:r>
      <w:r w:rsidR="006838EA">
        <w:t>firm’s net revenue</w:t>
      </w:r>
      <w:r w:rsidR="00494C9A">
        <w:t>?” and “</w:t>
      </w:r>
      <w:r w:rsidR="00AA3A99">
        <w:t xml:space="preserve">Are there </w:t>
      </w:r>
      <w:r w:rsidR="00154C47">
        <w:t xml:space="preserve">any </w:t>
      </w:r>
      <w:r w:rsidR="00AA3A99">
        <w:t>core differences between accounting firms in different regions of the country?”.</w:t>
      </w:r>
    </w:p>
    <w:p w14:paraId="610F7879" w14:textId="62F7E970" w:rsidR="007D174C" w:rsidRDefault="001F219C" w:rsidP="00340AE3">
      <w:pPr>
        <w:spacing w:after="0" w:line="480" w:lineRule="auto"/>
      </w:pPr>
      <w:r>
        <w:tab/>
      </w:r>
      <w:r w:rsidR="00340AE3">
        <w:t xml:space="preserve">The data used to perform this report’s analysis was sourced from </w:t>
      </w:r>
      <w:r w:rsidR="00340AE3">
        <w:rPr>
          <w:i/>
          <w:iCs/>
        </w:rPr>
        <w:t>Accounting Today</w:t>
      </w:r>
      <w:r w:rsidR="00340AE3">
        <w:t>, a firm that provides yearly data about the United States’ top accounting firms</w:t>
      </w:r>
      <w:r w:rsidR="00164E60">
        <w:t xml:space="preserve">. </w:t>
      </w:r>
      <w:r w:rsidR="0044029E">
        <w:t xml:space="preserve">The specific </w:t>
      </w:r>
      <w:r w:rsidR="0044029E">
        <w:rPr>
          <w:i/>
          <w:iCs/>
        </w:rPr>
        <w:t>Accounting Today</w:t>
      </w:r>
      <w:r w:rsidR="0044029E">
        <w:t xml:space="preserve"> </w:t>
      </w:r>
      <w:r w:rsidR="00ED6576">
        <w:t>data used in this report is th</w:t>
      </w:r>
      <w:r w:rsidR="00D97879">
        <w:t xml:space="preserve">e 2019 data and </w:t>
      </w:r>
      <w:r w:rsidR="00103FE5">
        <w:t xml:space="preserve">contains </w:t>
      </w:r>
      <w:r w:rsidR="00641152">
        <w:t xml:space="preserve">information about each of the below points of interest for 54 firms in total. </w:t>
      </w:r>
    </w:p>
    <w:p w14:paraId="2F91A457" w14:textId="1A9318FC" w:rsidR="00C43917" w:rsidRDefault="005D1D3E" w:rsidP="007D174C">
      <w:pPr>
        <w:pStyle w:val="ListParagraph"/>
        <w:numPr>
          <w:ilvl w:val="0"/>
          <w:numId w:val="6"/>
        </w:numPr>
        <w:spacing w:after="0" w:line="480" w:lineRule="auto"/>
      </w:pPr>
      <w:r>
        <w:t>Net Revenue</w:t>
      </w:r>
      <w:r w:rsidR="0055621A">
        <w:t xml:space="preserve"> (USD) for the firm </w:t>
      </w:r>
    </w:p>
    <w:p w14:paraId="2D4B0CAF" w14:textId="1832438E" w:rsidR="00920F94" w:rsidRDefault="00920F94" w:rsidP="007D174C">
      <w:pPr>
        <w:pStyle w:val="ListParagraph"/>
        <w:numPr>
          <w:ilvl w:val="0"/>
          <w:numId w:val="6"/>
        </w:numPr>
        <w:spacing w:after="0" w:line="480" w:lineRule="auto"/>
      </w:pPr>
      <w:r>
        <w:t>Number of business offices in the designated region the firm has</w:t>
      </w:r>
    </w:p>
    <w:p w14:paraId="5B56676A" w14:textId="20290923" w:rsidR="00920F94" w:rsidRDefault="001E17E1" w:rsidP="007D174C">
      <w:pPr>
        <w:pStyle w:val="ListParagraph"/>
        <w:numPr>
          <w:ilvl w:val="0"/>
          <w:numId w:val="6"/>
        </w:numPr>
        <w:spacing w:after="0" w:line="480" w:lineRule="auto"/>
      </w:pPr>
      <w:r>
        <w:t>Number of partners in the firm</w:t>
      </w:r>
    </w:p>
    <w:p w14:paraId="75DAFF66" w14:textId="4F127596" w:rsidR="001E17E1" w:rsidRDefault="001E17E1" w:rsidP="007D174C">
      <w:pPr>
        <w:pStyle w:val="ListParagraph"/>
        <w:numPr>
          <w:ilvl w:val="0"/>
          <w:numId w:val="6"/>
        </w:numPr>
        <w:spacing w:after="0" w:line="480" w:lineRule="auto"/>
      </w:pPr>
      <w:r>
        <w:t>Total number of employees, regardless of title, in the firm</w:t>
      </w:r>
    </w:p>
    <w:p w14:paraId="1235E658" w14:textId="4ACC230C" w:rsidR="001E17E1" w:rsidRDefault="009D54DA" w:rsidP="007D174C">
      <w:pPr>
        <w:pStyle w:val="ListParagraph"/>
        <w:numPr>
          <w:ilvl w:val="0"/>
          <w:numId w:val="6"/>
        </w:numPr>
        <w:spacing w:after="0" w:line="480" w:lineRule="auto"/>
      </w:pPr>
      <w:r>
        <w:t>Region in which the firm is located. The regions captured within the data are: “Southeast” (Arkansas, Georgia, Kentucky, North Carolina, South Carolina</w:t>
      </w:r>
      <w:r w:rsidR="00694286">
        <w:t xml:space="preserve">, </w:t>
      </w:r>
      <w:r>
        <w:t>Tennessee), “Gulf Coast” (Alabama, Florida, Louisiana, Mississippi) and “Capitol” (</w:t>
      </w:r>
      <w:r w:rsidR="00694286">
        <w:t>Delaware, Maryland, Virginia, Washington DC, West Virginia).</w:t>
      </w:r>
    </w:p>
    <w:p w14:paraId="261DB8BF" w14:textId="77777777" w:rsidR="00C6592E" w:rsidRDefault="003D12B2" w:rsidP="00C6592E">
      <w:pPr>
        <w:spacing w:after="0" w:line="480" w:lineRule="auto"/>
      </w:pPr>
      <w:r>
        <w:t xml:space="preserve">Of further note, the data is </w:t>
      </w:r>
      <w:r w:rsidR="00B0161C">
        <w:t>relatively equally distributed across all three regions, with 18 of the 54 accounting firms</w:t>
      </w:r>
      <w:r w:rsidR="008626F6">
        <w:t xml:space="preserve"> analyzed</w:t>
      </w:r>
      <w:r w:rsidR="00B0161C">
        <w:t xml:space="preserve"> residing in the </w:t>
      </w:r>
      <w:r w:rsidR="00520BB1">
        <w:t>“</w:t>
      </w:r>
      <w:r w:rsidR="00865BB4">
        <w:t>Southeast region</w:t>
      </w:r>
      <w:r w:rsidR="00520BB1">
        <w:t>”</w:t>
      </w:r>
      <w:r w:rsidR="00865BB4">
        <w:t xml:space="preserve">, 17 of the 54 </w:t>
      </w:r>
      <w:r w:rsidR="008626F6">
        <w:t>residing in the</w:t>
      </w:r>
      <w:r w:rsidR="00865BB4">
        <w:t xml:space="preserve"> “Gulf Coast” region</w:t>
      </w:r>
      <w:r w:rsidR="008626F6">
        <w:t>,</w:t>
      </w:r>
      <w:r w:rsidR="00865BB4">
        <w:t xml:space="preserve"> and 19 of the 54 residing in the “</w:t>
      </w:r>
      <w:r w:rsidR="00520BB1">
        <w:t>Capitol” region.</w:t>
      </w:r>
    </w:p>
    <w:p w14:paraId="7C7EF97B" w14:textId="01BBEABB" w:rsidR="00E9473D" w:rsidRDefault="00091F9C" w:rsidP="005058AC">
      <w:pPr>
        <w:spacing w:after="0" w:line="480" w:lineRule="auto"/>
      </w:pPr>
      <w:r>
        <w:rPr>
          <w:b/>
          <w:bCs/>
          <w:sz w:val="28"/>
          <w:szCs w:val="28"/>
        </w:rPr>
        <w:lastRenderedPageBreak/>
        <w:t>Analysis:</w:t>
      </w:r>
    </w:p>
    <w:p w14:paraId="7B02C792" w14:textId="5EF32319" w:rsidR="0020483D" w:rsidRDefault="006B221E" w:rsidP="00E35FFB">
      <w:pPr>
        <w:spacing w:after="0" w:line="480" w:lineRule="auto"/>
        <w:ind w:firstLine="720"/>
      </w:pPr>
      <w:r>
        <w:t xml:space="preserve">Before </w:t>
      </w:r>
      <w:r w:rsidR="00007415">
        <w:t>exploring</w:t>
      </w:r>
      <w:r>
        <w:t xml:space="preserve"> the relational analysis core to this report, it is first important to understand the data</w:t>
      </w:r>
      <w:r w:rsidR="00597B2D">
        <w:t xml:space="preserve"> itself. </w:t>
      </w:r>
      <w:r w:rsidR="00DE5960">
        <w:t xml:space="preserve">In the below </w:t>
      </w:r>
      <w:r w:rsidR="00917E1A">
        <w:t>table</w:t>
      </w:r>
      <w:r w:rsidR="00D855F1">
        <w:t xml:space="preserve">, key summary information surrounding the data provided by </w:t>
      </w:r>
      <w:r w:rsidR="00D855F1">
        <w:rPr>
          <w:i/>
          <w:iCs/>
        </w:rPr>
        <w:t>Accounting Today</w:t>
      </w:r>
      <w:r w:rsidR="00D855F1">
        <w:t xml:space="preserve"> is given. </w:t>
      </w:r>
      <w:r w:rsidR="004B0D0E">
        <w:t>The interpretation of the “</w:t>
      </w:r>
      <w:r w:rsidR="000B1E77">
        <w:t xml:space="preserve">95% </w:t>
      </w:r>
      <w:r w:rsidR="004B0D0E">
        <w:t>Confidence Interval” column within the table</w:t>
      </w:r>
      <w:r w:rsidR="000B1E77">
        <w:t xml:space="preserve"> can be explained as an interval for which we are 95% confident contains the actual </w:t>
      </w:r>
      <w:r w:rsidR="00C5648A">
        <w:t xml:space="preserve">population averages. </w:t>
      </w:r>
      <w:r w:rsidR="00774269">
        <w:t>Taking</w:t>
      </w:r>
      <w:r w:rsidR="0091715A">
        <w:t xml:space="preserve"> this generic statement and expanding it into the specific context of </w:t>
      </w:r>
      <w:r w:rsidR="00E95E53">
        <w:t>“Net Revenue”</w:t>
      </w:r>
      <w:r w:rsidR="0091715A">
        <w:t xml:space="preserve">, </w:t>
      </w:r>
      <w:r w:rsidR="00C22D9D">
        <w:t xml:space="preserve">given the below we are </w:t>
      </w:r>
      <w:r w:rsidR="00F7719E">
        <w:t xml:space="preserve">95% confident that we have found an interval for yearly </w:t>
      </w:r>
      <w:r w:rsidR="0093489D">
        <w:t>net revenue</w:t>
      </w:r>
      <w:r w:rsidR="00F7719E">
        <w:t xml:space="preserve"> that would contain </w:t>
      </w:r>
      <w:r w:rsidR="002B0F09">
        <w:t xml:space="preserve">the average </w:t>
      </w:r>
      <w:r w:rsidR="0093489D">
        <w:t>net revenue</w:t>
      </w:r>
      <w:r w:rsidR="002B0F09">
        <w:t xml:space="preserve"> for </w:t>
      </w:r>
      <w:r w:rsidR="002B0F09">
        <w:rPr>
          <w:i/>
          <w:iCs/>
        </w:rPr>
        <w:t>all</w:t>
      </w:r>
      <w:r w:rsidR="002B0F09">
        <w:t xml:space="preserve"> </w:t>
      </w:r>
      <w:r w:rsidR="00B46E5A">
        <w:t>“</w:t>
      </w:r>
      <w:r w:rsidR="002B0F09">
        <w:t>top</w:t>
      </w:r>
      <w:r w:rsidR="00B46E5A">
        <w:t>”</w:t>
      </w:r>
      <w:r w:rsidR="002B0F09">
        <w:t xml:space="preserve"> accounting firms in the United States</w:t>
      </w:r>
      <w:r w:rsidR="00F337F2">
        <w:t>, based upon the data used for this report.</w:t>
      </w:r>
      <w:r w:rsidR="00115DC7">
        <w:t xml:space="preserve"> This same logic would in turn hold for all of the categories shown in the table below.</w:t>
      </w:r>
    </w:p>
    <w:tbl>
      <w:tblPr>
        <w:tblW w:w="9521" w:type="dxa"/>
        <w:tblLook w:val="04A0" w:firstRow="1" w:lastRow="0" w:firstColumn="1" w:lastColumn="0" w:noHBand="0" w:noVBand="1"/>
      </w:tblPr>
      <w:tblGrid>
        <w:gridCol w:w="1576"/>
        <w:gridCol w:w="1638"/>
        <w:gridCol w:w="1763"/>
        <w:gridCol w:w="1763"/>
        <w:gridCol w:w="2781"/>
      </w:tblGrid>
      <w:tr w:rsidR="0093489D" w:rsidRPr="00E47D1E" w14:paraId="47BE467E" w14:textId="77777777" w:rsidTr="0093489D">
        <w:trPr>
          <w:trHeight w:val="497"/>
        </w:trPr>
        <w:tc>
          <w:tcPr>
            <w:tcW w:w="1576"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14:paraId="7DA7A78F" w14:textId="77777777" w:rsidR="00E47D1E" w:rsidRPr="00E47D1E" w:rsidRDefault="00E47D1E" w:rsidP="00E47D1E">
            <w:pPr>
              <w:spacing w:after="0" w:line="240" w:lineRule="auto"/>
              <w:jc w:val="center"/>
              <w:rPr>
                <w:rFonts w:ascii="Calibri" w:eastAsia="Times New Roman" w:hAnsi="Calibri" w:cs="Calibri"/>
                <w:i/>
                <w:iCs/>
                <w:color w:val="000000"/>
              </w:rPr>
            </w:pPr>
            <w:r w:rsidRPr="00E47D1E">
              <w:rPr>
                <w:rFonts w:ascii="Calibri" w:eastAsia="Times New Roman" w:hAnsi="Calibri" w:cs="Calibri"/>
                <w:i/>
                <w:iCs/>
                <w:color w:val="000000"/>
              </w:rPr>
              <w:t>data</w:t>
            </w:r>
          </w:p>
        </w:tc>
        <w:tc>
          <w:tcPr>
            <w:tcW w:w="1638" w:type="dxa"/>
            <w:tcBorders>
              <w:top w:val="single" w:sz="4" w:space="0" w:color="auto"/>
              <w:left w:val="nil"/>
              <w:bottom w:val="single" w:sz="4" w:space="0" w:color="auto"/>
              <w:right w:val="single" w:sz="4" w:space="0" w:color="auto"/>
            </w:tcBorders>
            <w:shd w:val="clear" w:color="000000" w:fill="F2DCDB"/>
            <w:vAlign w:val="center"/>
            <w:hideMark/>
          </w:tcPr>
          <w:p w14:paraId="23D40573" w14:textId="77777777" w:rsidR="00E47D1E" w:rsidRPr="00E47D1E" w:rsidRDefault="00E47D1E" w:rsidP="00E47D1E">
            <w:pPr>
              <w:spacing w:after="0" w:line="240" w:lineRule="auto"/>
              <w:jc w:val="center"/>
              <w:rPr>
                <w:rFonts w:ascii="Calibri" w:eastAsia="Times New Roman" w:hAnsi="Calibri" w:cs="Calibri"/>
                <w:b/>
                <w:bCs/>
                <w:color w:val="000000"/>
              </w:rPr>
            </w:pPr>
            <w:r w:rsidRPr="00E47D1E">
              <w:rPr>
                <w:rFonts w:ascii="Calibri" w:eastAsia="Times New Roman" w:hAnsi="Calibri" w:cs="Calibri"/>
                <w:b/>
                <w:bCs/>
                <w:color w:val="000000"/>
              </w:rPr>
              <w:t>Minimum Value</w:t>
            </w:r>
          </w:p>
        </w:tc>
        <w:tc>
          <w:tcPr>
            <w:tcW w:w="1763" w:type="dxa"/>
            <w:tcBorders>
              <w:top w:val="single" w:sz="4" w:space="0" w:color="auto"/>
              <w:left w:val="nil"/>
              <w:bottom w:val="single" w:sz="4" w:space="0" w:color="auto"/>
              <w:right w:val="single" w:sz="4" w:space="0" w:color="auto"/>
            </w:tcBorders>
            <w:shd w:val="clear" w:color="000000" w:fill="F2DCDB"/>
            <w:vAlign w:val="center"/>
            <w:hideMark/>
          </w:tcPr>
          <w:p w14:paraId="17E1C0DB" w14:textId="77777777" w:rsidR="00E47D1E" w:rsidRPr="00E47D1E" w:rsidRDefault="00E47D1E" w:rsidP="00E47D1E">
            <w:pPr>
              <w:spacing w:after="0" w:line="240" w:lineRule="auto"/>
              <w:jc w:val="center"/>
              <w:rPr>
                <w:rFonts w:ascii="Calibri" w:eastAsia="Times New Roman" w:hAnsi="Calibri" w:cs="Calibri"/>
                <w:b/>
                <w:bCs/>
                <w:color w:val="000000"/>
              </w:rPr>
            </w:pPr>
            <w:r w:rsidRPr="00E47D1E">
              <w:rPr>
                <w:rFonts w:ascii="Calibri" w:eastAsia="Times New Roman" w:hAnsi="Calibri" w:cs="Calibri"/>
                <w:b/>
                <w:bCs/>
                <w:color w:val="000000"/>
              </w:rPr>
              <w:t>Median Value</w:t>
            </w:r>
          </w:p>
        </w:tc>
        <w:tc>
          <w:tcPr>
            <w:tcW w:w="1763" w:type="dxa"/>
            <w:tcBorders>
              <w:top w:val="single" w:sz="4" w:space="0" w:color="auto"/>
              <w:left w:val="nil"/>
              <w:bottom w:val="single" w:sz="4" w:space="0" w:color="auto"/>
              <w:right w:val="single" w:sz="4" w:space="0" w:color="auto"/>
            </w:tcBorders>
            <w:shd w:val="clear" w:color="000000" w:fill="F2DCDB"/>
            <w:vAlign w:val="center"/>
            <w:hideMark/>
          </w:tcPr>
          <w:p w14:paraId="4AB04E40" w14:textId="77777777" w:rsidR="00E47D1E" w:rsidRPr="00E47D1E" w:rsidRDefault="00E47D1E" w:rsidP="00E47D1E">
            <w:pPr>
              <w:spacing w:after="0" w:line="240" w:lineRule="auto"/>
              <w:jc w:val="center"/>
              <w:rPr>
                <w:rFonts w:ascii="Calibri" w:eastAsia="Times New Roman" w:hAnsi="Calibri" w:cs="Calibri"/>
                <w:b/>
                <w:bCs/>
                <w:color w:val="000000"/>
              </w:rPr>
            </w:pPr>
            <w:r w:rsidRPr="00E47D1E">
              <w:rPr>
                <w:rFonts w:ascii="Calibri" w:eastAsia="Times New Roman" w:hAnsi="Calibri" w:cs="Calibri"/>
                <w:b/>
                <w:bCs/>
                <w:color w:val="000000"/>
              </w:rPr>
              <w:t>Maximum Value</w:t>
            </w:r>
          </w:p>
        </w:tc>
        <w:tc>
          <w:tcPr>
            <w:tcW w:w="2781" w:type="dxa"/>
            <w:tcBorders>
              <w:top w:val="single" w:sz="4" w:space="0" w:color="auto"/>
              <w:left w:val="nil"/>
              <w:bottom w:val="single" w:sz="4" w:space="0" w:color="auto"/>
              <w:right w:val="single" w:sz="4" w:space="0" w:color="auto"/>
            </w:tcBorders>
            <w:shd w:val="clear" w:color="000000" w:fill="F2DCDB"/>
            <w:vAlign w:val="center"/>
            <w:hideMark/>
          </w:tcPr>
          <w:p w14:paraId="68B6CC08" w14:textId="77777777" w:rsidR="00E47D1E" w:rsidRPr="00E47D1E" w:rsidRDefault="00E47D1E" w:rsidP="00E47D1E">
            <w:pPr>
              <w:spacing w:after="0" w:line="240" w:lineRule="auto"/>
              <w:jc w:val="center"/>
              <w:rPr>
                <w:rFonts w:ascii="Calibri" w:eastAsia="Times New Roman" w:hAnsi="Calibri" w:cs="Calibri"/>
                <w:b/>
                <w:bCs/>
                <w:color w:val="000000"/>
              </w:rPr>
            </w:pPr>
            <w:r w:rsidRPr="00E47D1E">
              <w:rPr>
                <w:rFonts w:ascii="Calibri" w:eastAsia="Times New Roman" w:hAnsi="Calibri" w:cs="Calibri"/>
                <w:b/>
                <w:bCs/>
                <w:color w:val="000000"/>
              </w:rPr>
              <w:t>95% Confidence Interval</w:t>
            </w:r>
          </w:p>
        </w:tc>
      </w:tr>
      <w:tr w:rsidR="0093489D" w:rsidRPr="00E47D1E" w14:paraId="6CE93037" w14:textId="77777777" w:rsidTr="0093489D">
        <w:trPr>
          <w:trHeight w:val="515"/>
        </w:trPr>
        <w:tc>
          <w:tcPr>
            <w:tcW w:w="1576" w:type="dxa"/>
            <w:tcBorders>
              <w:top w:val="nil"/>
              <w:left w:val="single" w:sz="4" w:space="0" w:color="auto"/>
              <w:bottom w:val="single" w:sz="4" w:space="0" w:color="auto"/>
              <w:right w:val="single" w:sz="4" w:space="0" w:color="auto"/>
            </w:tcBorders>
            <w:shd w:val="clear" w:color="auto" w:fill="auto"/>
            <w:vAlign w:val="bottom"/>
            <w:hideMark/>
          </w:tcPr>
          <w:p w14:paraId="69A325B7" w14:textId="77777777" w:rsidR="00E47D1E" w:rsidRPr="00E47D1E" w:rsidRDefault="00E47D1E" w:rsidP="00E47D1E">
            <w:pPr>
              <w:spacing w:after="0" w:line="240" w:lineRule="auto"/>
              <w:jc w:val="center"/>
              <w:rPr>
                <w:rFonts w:ascii="Calibri" w:eastAsia="Times New Roman" w:hAnsi="Calibri" w:cs="Calibri"/>
                <w:b/>
                <w:bCs/>
                <w:color w:val="000000"/>
              </w:rPr>
            </w:pPr>
            <w:r w:rsidRPr="00E47D1E">
              <w:rPr>
                <w:rFonts w:ascii="Calibri" w:eastAsia="Times New Roman" w:hAnsi="Calibri" w:cs="Calibri"/>
                <w:b/>
                <w:bCs/>
                <w:color w:val="000000"/>
              </w:rPr>
              <w:t>Net Revenue (USD)</w:t>
            </w:r>
          </w:p>
        </w:tc>
        <w:tc>
          <w:tcPr>
            <w:tcW w:w="1638" w:type="dxa"/>
            <w:tcBorders>
              <w:top w:val="nil"/>
              <w:left w:val="nil"/>
              <w:bottom w:val="single" w:sz="4" w:space="0" w:color="auto"/>
              <w:right w:val="single" w:sz="4" w:space="0" w:color="auto"/>
            </w:tcBorders>
            <w:shd w:val="clear" w:color="auto" w:fill="auto"/>
            <w:noWrap/>
            <w:vAlign w:val="center"/>
            <w:hideMark/>
          </w:tcPr>
          <w:p w14:paraId="32EAC46F" w14:textId="13F7F0C8"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$10,540,000</w:t>
            </w:r>
          </w:p>
        </w:tc>
        <w:tc>
          <w:tcPr>
            <w:tcW w:w="1763" w:type="dxa"/>
            <w:tcBorders>
              <w:top w:val="nil"/>
              <w:left w:val="nil"/>
              <w:bottom w:val="single" w:sz="4" w:space="0" w:color="auto"/>
              <w:right w:val="single" w:sz="4" w:space="0" w:color="auto"/>
            </w:tcBorders>
            <w:shd w:val="clear" w:color="auto" w:fill="auto"/>
            <w:noWrap/>
            <w:vAlign w:val="center"/>
            <w:hideMark/>
          </w:tcPr>
          <w:p w14:paraId="737E9FD3" w14:textId="29DCF16A"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$26,550,000</w:t>
            </w:r>
          </w:p>
        </w:tc>
        <w:tc>
          <w:tcPr>
            <w:tcW w:w="1763" w:type="dxa"/>
            <w:tcBorders>
              <w:top w:val="nil"/>
              <w:left w:val="nil"/>
              <w:bottom w:val="single" w:sz="4" w:space="0" w:color="auto"/>
              <w:right w:val="single" w:sz="4" w:space="0" w:color="auto"/>
            </w:tcBorders>
            <w:shd w:val="clear" w:color="auto" w:fill="auto"/>
            <w:noWrap/>
            <w:vAlign w:val="center"/>
            <w:hideMark/>
          </w:tcPr>
          <w:p w14:paraId="5BC6691F" w14:textId="1C26314C"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$108,550,000</w:t>
            </w:r>
          </w:p>
        </w:tc>
        <w:tc>
          <w:tcPr>
            <w:tcW w:w="2781" w:type="dxa"/>
            <w:tcBorders>
              <w:top w:val="nil"/>
              <w:left w:val="nil"/>
              <w:bottom w:val="single" w:sz="4" w:space="0" w:color="auto"/>
              <w:right w:val="single" w:sz="4" w:space="0" w:color="auto"/>
            </w:tcBorders>
            <w:shd w:val="clear" w:color="auto" w:fill="auto"/>
            <w:vAlign w:val="center"/>
            <w:hideMark/>
          </w:tcPr>
          <w:p w14:paraId="65BBB3AF"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$25,937,720 - $37,715,240</w:t>
            </w:r>
          </w:p>
        </w:tc>
      </w:tr>
      <w:tr w:rsidR="0093489D" w:rsidRPr="00E47D1E" w14:paraId="545600EA" w14:textId="77777777" w:rsidTr="0093489D">
        <w:trPr>
          <w:trHeight w:val="257"/>
        </w:trPr>
        <w:tc>
          <w:tcPr>
            <w:tcW w:w="1576" w:type="dxa"/>
            <w:tcBorders>
              <w:top w:val="nil"/>
              <w:left w:val="single" w:sz="4" w:space="0" w:color="auto"/>
              <w:bottom w:val="single" w:sz="4" w:space="0" w:color="auto"/>
              <w:right w:val="single" w:sz="4" w:space="0" w:color="auto"/>
            </w:tcBorders>
            <w:shd w:val="clear" w:color="auto" w:fill="auto"/>
            <w:vAlign w:val="bottom"/>
            <w:hideMark/>
          </w:tcPr>
          <w:p w14:paraId="48EBA08C" w14:textId="77777777" w:rsidR="00E47D1E" w:rsidRPr="00E47D1E" w:rsidRDefault="00E47D1E" w:rsidP="00E47D1E">
            <w:pPr>
              <w:spacing w:after="0" w:line="240" w:lineRule="auto"/>
              <w:jc w:val="center"/>
              <w:rPr>
                <w:rFonts w:ascii="Calibri" w:eastAsia="Times New Roman" w:hAnsi="Calibri" w:cs="Calibri"/>
                <w:b/>
                <w:bCs/>
                <w:color w:val="000000"/>
              </w:rPr>
            </w:pPr>
            <w:r w:rsidRPr="00E47D1E">
              <w:rPr>
                <w:rFonts w:ascii="Calibri" w:eastAsia="Times New Roman" w:hAnsi="Calibri" w:cs="Calibri"/>
                <w:b/>
                <w:bCs/>
                <w:color w:val="000000"/>
              </w:rPr>
              <w:t>Offices</w:t>
            </w:r>
          </w:p>
        </w:tc>
        <w:tc>
          <w:tcPr>
            <w:tcW w:w="1638" w:type="dxa"/>
            <w:tcBorders>
              <w:top w:val="nil"/>
              <w:left w:val="nil"/>
              <w:bottom w:val="single" w:sz="4" w:space="0" w:color="auto"/>
              <w:right w:val="single" w:sz="4" w:space="0" w:color="auto"/>
            </w:tcBorders>
            <w:shd w:val="clear" w:color="auto" w:fill="auto"/>
            <w:noWrap/>
            <w:vAlign w:val="center"/>
            <w:hideMark/>
          </w:tcPr>
          <w:p w14:paraId="127AEA5D"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1</w:t>
            </w:r>
          </w:p>
        </w:tc>
        <w:tc>
          <w:tcPr>
            <w:tcW w:w="1763" w:type="dxa"/>
            <w:tcBorders>
              <w:top w:val="nil"/>
              <w:left w:val="nil"/>
              <w:bottom w:val="single" w:sz="4" w:space="0" w:color="auto"/>
              <w:right w:val="single" w:sz="4" w:space="0" w:color="auto"/>
            </w:tcBorders>
            <w:shd w:val="clear" w:color="auto" w:fill="auto"/>
            <w:noWrap/>
            <w:vAlign w:val="center"/>
            <w:hideMark/>
          </w:tcPr>
          <w:p w14:paraId="107D9A8D"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3</w:t>
            </w:r>
          </w:p>
        </w:tc>
        <w:tc>
          <w:tcPr>
            <w:tcW w:w="1763" w:type="dxa"/>
            <w:tcBorders>
              <w:top w:val="nil"/>
              <w:left w:val="nil"/>
              <w:bottom w:val="single" w:sz="4" w:space="0" w:color="auto"/>
              <w:right w:val="single" w:sz="4" w:space="0" w:color="auto"/>
            </w:tcBorders>
            <w:shd w:val="clear" w:color="auto" w:fill="auto"/>
            <w:noWrap/>
            <w:vAlign w:val="center"/>
            <w:hideMark/>
          </w:tcPr>
          <w:p w14:paraId="3D9EBF81"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17</w:t>
            </w:r>
          </w:p>
        </w:tc>
        <w:tc>
          <w:tcPr>
            <w:tcW w:w="2781" w:type="dxa"/>
            <w:tcBorders>
              <w:top w:val="nil"/>
              <w:left w:val="nil"/>
              <w:bottom w:val="single" w:sz="4" w:space="0" w:color="auto"/>
              <w:right w:val="single" w:sz="4" w:space="0" w:color="auto"/>
            </w:tcBorders>
            <w:shd w:val="clear" w:color="auto" w:fill="auto"/>
            <w:noWrap/>
            <w:vAlign w:val="center"/>
            <w:hideMark/>
          </w:tcPr>
          <w:p w14:paraId="0E259F1E"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3.21 - 5.16</w:t>
            </w:r>
          </w:p>
        </w:tc>
      </w:tr>
      <w:tr w:rsidR="0093489D" w:rsidRPr="00E47D1E" w14:paraId="036292D8" w14:textId="77777777" w:rsidTr="0093489D">
        <w:trPr>
          <w:trHeight w:val="257"/>
        </w:trPr>
        <w:tc>
          <w:tcPr>
            <w:tcW w:w="1576" w:type="dxa"/>
            <w:tcBorders>
              <w:top w:val="nil"/>
              <w:left w:val="single" w:sz="4" w:space="0" w:color="auto"/>
              <w:bottom w:val="single" w:sz="4" w:space="0" w:color="auto"/>
              <w:right w:val="single" w:sz="4" w:space="0" w:color="auto"/>
            </w:tcBorders>
            <w:shd w:val="clear" w:color="auto" w:fill="auto"/>
            <w:vAlign w:val="bottom"/>
            <w:hideMark/>
          </w:tcPr>
          <w:p w14:paraId="026DE1A2" w14:textId="77777777" w:rsidR="00E47D1E" w:rsidRPr="00E47D1E" w:rsidRDefault="00E47D1E" w:rsidP="00E47D1E">
            <w:pPr>
              <w:spacing w:after="0" w:line="240" w:lineRule="auto"/>
              <w:jc w:val="center"/>
              <w:rPr>
                <w:rFonts w:ascii="Calibri" w:eastAsia="Times New Roman" w:hAnsi="Calibri" w:cs="Calibri"/>
                <w:b/>
                <w:bCs/>
                <w:color w:val="000000"/>
              </w:rPr>
            </w:pPr>
            <w:r w:rsidRPr="00E47D1E">
              <w:rPr>
                <w:rFonts w:ascii="Calibri" w:eastAsia="Times New Roman" w:hAnsi="Calibri" w:cs="Calibri"/>
                <w:b/>
                <w:bCs/>
                <w:color w:val="000000"/>
              </w:rPr>
              <w:t>Partners</w:t>
            </w:r>
          </w:p>
        </w:tc>
        <w:tc>
          <w:tcPr>
            <w:tcW w:w="1638" w:type="dxa"/>
            <w:tcBorders>
              <w:top w:val="nil"/>
              <w:left w:val="nil"/>
              <w:bottom w:val="single" w:sz="4" w:space="0" w:color="auto"/>
              <w:right w:val="single" w:sz="4" w:space="0" w:color="auto"/>
            </w:tcBorders>
            <w:shd w:val="clear" w:color="auto" w:fill="auto"/>
            <w:noWrap/>
            <w:vAlign w:val="center"/>
            <w:hideMark/>
          </w:tcPr>
          <w:p w14:paraId="4C75C869"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9</w:t>
            </w:r>
          </w:p>
        </w:tc>
        <w:tc>
          <w:tcPr>
            <w:tcW w:w="1763" w:type="dxa"/>
            <w:tcBorders>
              <w:top w:val="nil"/>
              <w:left w:val="nil"/>
              <w:bottom w:val="single" w:sz="4" w:space="0" w:color="auto"/>
              <w:right w:val="single" w:sz="4" w:space="0" w:color="auto"/>
            </w:tcBorders>
            <w:shd w:val="clear" w:color="auto" w:fill="auto"/>
            <w:noWrap/>
            <w:vAlign w:val="center"/>
            <w:hideMark/>
          </w:tcPr>
          <w:p w14:paraId="5D9645B4"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19</w:t>
            </w:r>
          </w:p>
        </w:tc>
        <w:tc>
          <w:tcPr>
            <w:tcW w:w="1763" w:type="dxa"/>
            <w:tcBorders>
              <w:top w:val="nil"/>
              <w:left w:val="nil"/>
              <w:bottom w:val="single" w:sz="4" w:space="0" w:color="auto"/>
              <w:right w:val="single" w:sz="4" w:space="0" w:color="auto"/>
            </w:tcBorders>
            <w:shd w:val="clear" w:color="auto" w:fill="auto"/>
            <w:noWrap/>
            <w:vAlign w:val="center"/>
            <w:hideMark/>
          </w:tcPr>
          <w:p w14:paraId="68FCE7E6"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61</w:t>
            </w:r>
          </w:p>
        </w:tc>
        <w:tc>
          <w:tcPr>
            <w:tcW w:w="2781" w:type="dxa"/>
            <w:tcBorders>
              <w:top w:val="nil"/>
              <w:left w:val="nil"/>
              <w:bottom w:val="single" w:sz="4" w:space="0" w:color="auto"/>
              <w:right w:val="single" w:sz="4" w:space="0" w:color="auto"/>
            </w:tcBorders>
            <w:shd w:val="clear" w:color="auto" w:fill="auto"/>
            <w:noWrap/>
            <w:vAlign w:val="center"/>
            <w:hideMark/>
          </w:tcPr>
          <w:p w14:paraId="495956C5"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20.51 - 28.11</w:t>
            </w:r>
          </w:p>
        </w:tc>
      </w:tr>
      <w:tr w:rsidR="0093489D" w:rsidRPr="00E47D1E" w14:paraId="7CF3119F" w14:textId="77777777" w:rsidTr="0093489D">
        <w:trPr>
          <w:trHeight w:val="257"/>
        </w:trPr>
        <w:tc>
          <w:tcPr>
            <w:tcW w:w="1576" w:type="dxa"/>
            <w:tcBorders>
              <w:top w:val="nil"/>
              <w:left w:val="single" w:sz="4" w:space="0" w:color="auto"/>
              <w:bottom w:val="single" w:sz="4" w:space="0" w:color="auto"/>
              <w:right w:val="single" w:sz="4" w:space="0" w:color="auto"/>
            </w:tcBorders>
            <w:shd w:val="clear" w:color="auto" w:fill="auto"/>
            <w:vAlign w:val="bottom"/>
            <w:hideMark/>
          </w:tcPr>
          <w:p w14:paraId="77A822AF" w14:textId="77777777" w:rsidR="00E47D1E" w:rsidRPr="00E47D1E" w:rsidRDefault="00E47D1E" w:rsidP="00E47D1E">
            <w:pPr>
              <w:spacing w:after="0" w:line="240" w:lineRule="auto"/>
              <w:jc w:val="center"/>
              <w:rPr>
                <w:rFonts w:ascii="Calibri" w:eastAsia="Times New Roman" w:hAnsi="Calibri" w:cs="Calibri"/>
                <w:b/>
                <w:bCs/>
                <w:color w:val="000000"/>
              </w:rPr>
            </w:pPr>
            <w:r w:rsidRPr="00E47D1E">
              <w:rPr>
                <w:rFonts w:ascii="Calibri" w:eastAsia="Times New Roman" w:hAnsi="Calibri" w:cs="Calibri"/>
                <w:b/>
                <w:bCs/>
                <w:color w:val="000000"/>
              </w:rPr>
              <w:t>Employees</w:t>
            </w:r>
          </w:p>
        </w:tc>
        <w:tc>
          <w:tcPr>
            <w:tcW w:w="1638" w:type="dxa"/>
            <w:tcBorders>
              <w:top w:val="nil"/>
              <w:left w:val="nil"/>
              <w:bottom w:val="single" w:sz="4" w:space="0" w:color="auto"/>
              <w:right w:val="single" w:sz="4" w:space="0" w:color="auto"/>
            </w:tcBorders>
            <w:shd w:val="clear" w:color="auto" w:fill="auto"/>
            <w:noWrap/>
            <w:vAlign w:val="center"/>
            <w:hideMark/>
          </w:tcPr>
          <w:p w14:paraId="084798F3"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55</w:t>
            </w:r>
          </w:p>
        </w:tc>
        <w:tc>
          <w:tcPr>
            <w:tcW w:w="1763" w:type="dxa"/>
            <w:tcBorders>
              <w:top w:val="nil"/>
              <w:left w:val="nil"/>
              <w:bottom w:val="single" w:sz="4" w:space="0" w:color="auto"/>
              <w:right w:val="single" w:sz="4" w:space="0" w:color="auto"/>
            </w:tcBorders>
            <w:shd w:val="clear" w:color="auto" w:fill="auto"/>
            <w:noWrap/>
            <w:vAlign w:val="center"/>
            <w:hideMark/>
          </w:tcPr>
          <w:p w14:paraId="3DC3620B"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155</w:t>
            </w:r>
          </w:p>
        </w:tc>
        <w:tc>
          <w:tcPr>
            <w:tcW w:w="1763" w:type="dxa"/>
            <w:tcBorders>
              <w:top w:val="nil"/>
              <w:left w:val="nil"/>
              <w:bottom w:val="single" w:sz="4" w:space="0" w:color="auto"/>
              <w:right w:val="single" w:sz="4" w:space="0" w:color="auto"/>
            </w:tcBorders>
            <w:shd w:val="clear" w:color="auto" w:fill="auto"/>
            <w:noWrap/>
            <w:vAlign w:val="center"/>
            <w:hideMark/>
          </w:tcPr>
          <w:p w14:paraId="0B950994"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571</w:t>
            </w:r>
          </w:p>
        </w:tc>
        <w:tc>
          <w:tcPr>
            <w:tcW w:w="2781" w:type="dxa"/>
            <w:tcBorders>
              <w:top w:val="nil"/>
              <w:left w:val="nil"/>
              <w:bottom w:val="single" w:sz="4" w:space="0" w:color="auto"/>
              <w:right w:val="single" w:sz="4" w:space="0" w:color="auto"/>
            </w:tcBorders>
            <w:shd w:val="clear" w:color="auto" w:fill="auto"/>
            <w:noWrap/>
            <w:vAlign w:val="center"/>
            <w:hideMark/>
          </w:tcPr>
          <w:p w14:paraId="6F9D347A" w14:textId="77777777" w:rsidR="00E47D1E" w:rsidRPr="00E47D1E" w:rsidRDefault="00E47D1E" w:rsidP="00E47D1E">
            <w:pPr>
              <w:spacing w:after="0" w:line="240" w:lineRule="auto"/>
              <w:jc w:val="center"/>
              <w:rPr>
                <w:rFonts w:ascii="Calibri" w:eastAsia="Times New Roman" w:hAnsi="Calibri" w:cs="Calibri"/>
                <w:color w:val="000000"/>
              </w:rPr>
            </w:pPr>
            <w:r w:rsidRPr="00E47D1E">
              <w:rPr>
                <w:rFonts w:ascii="Calibri" w:eastAsia="Times New Roman" w:hAnsi="Calibri" w:cs="Calibri"/>
                <w:color w:val="000000"/>
              </w:rPr>
              <w:t>155.64 - 220.32</w:t>
            </w:r>
          </w:p>
        </w:tc>
      </w:tr>
    </w:tbl>
    <w:p w14:paraId="3DBFE99A" w14:textId="1FFFF413" w:rsidR="0020483D" w:rsidRPr="00D855F1" w:rsidRDefault="00C43230" w:rsidP="0020483D">
      <w:pPr>
        <w:spacing w:after="0" w:line="480" w:lineRule="auto"/>
        <w:ind w:firstLine="720"/>
        <w:jc w:val="right"/>
      </w:pPr>
      <w:r>
        <w:t>Table 1</w:t>
      </w:r>
    </w:p>
    <w:p w14:paraId="4AA445A4" w14:textId="6C566BE7" w:rsidR="003E521F" w:rsidRDefault="00F337F2" w:rsidP="00E47D1E">
      <w:pPr>
        <w:spacing w:after="0" w:line="480" w:lineRule="auto"/>
      </w:pPr>
      <w:r>
        <w:tab/>
        <w:t xml:space="preserve">To further augment the understanding of the data used within this report, the below graphics were also created. </w:t>
      </w:r>
      <w:r w:rsidR="00536316">
        <w:t xml:space="preserve">As evident </w:t>
      </w:r>
      <w:r w:rsidR="00FC072C">
        <w:t>by</w:t>
      </w:r>
      <w:r w:rsidR="00536316">
        <w:t xml:space="preserve"> each of the charts</w:t>
      </w:r>
      <w:r w:rsidR="00FC072C">
        <w:t xml:space="preserve">, the data provided by </w:t>
      </w:r>
      <w:r w:rsidR="00FC072C">
        <w:rPr>
          <w:i/>
          <w:iCs/>
        </w:rPr>
        <w:t>Accounting Today</w:t>
      </w:r>
      <w:r w:rsidR="00FC072C">
        <w:t xml:space="preserve"> is </w:t>
      </w:r>
      <w:r w:rsidR="00992790">
        <w:t xml:space="preserve">predominantly consistent of contextually “smaller” firms, </w:t>
      </w:r>
      <w:r w:rsidR="00BB7DF6">
        <w:t xml:space="preserve">with a few particularly large firms across all key categories existing within the data. </w:t>
      </w:r>
      <w:r w:rsidR="00AD7DAA">
        <w:t>This phenomenon is also captured by the table above, as it is clear the maximum values are substantially larger than that of the median (middle) values.</w:t>
      </w:r>
      <w:r w:rsidR="00B17ED1">
        <w:t xml:space="preserve"> </w:t>
      </w:r>
      <w:r w:rsidR="00B30BD8">
        <w:t xml:space="preserve">A region filter was also added to these </w:t>
      </w:r>
      <w:r w:rsidR="00110BD8">
        <w:t>graphs</w:t>
      </w:r>
      <w:r w:rsidR="00B30BD8">
        <w:t xml:space="preserve"> to show </w:t>
      </w:r>
      <w:r w:rsidR="00110BD8">
        <w:t xml:space="preserve">that although there are small differences, accounting firms across the different regions captured in this data do not differ much, if any, with respect </w:t>
      </w:r>
      <w:r w:rsidR="00075676">
        <w:t>to the categories analyzed.</w:t>
      </w:r>
    </w:p>
    <w:p w14:paraId="4A7662F8" w14:textId="49A3ABE0" w:rsidR="00073B20" w:rsidRDefault="00073B20" w:rsidP="003F70BB">
      <w:pPr>
        <w:spacing w:after="0" w:line="480" w:lineRule="auto"/>
        <w:jc w:val="center"/>
      </w:pPr>
      <w:r w:rsidRPr="00073B20">
        <w:rPr>
          <w:noProof/>
        </w:rPr>
        <w:lastRenderedPageBreak/>
        <w:drawing>
          <wp:inline distT="0" distB="0" distL="0" distR="0" wp14:anchorId="2A204B5C" wp14:editId="3429775D">
            <wp:extent cx="4627659" cy="3022316"/>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4111" cy="3026529"/>
                    </a:xfrm>
                    <a:prstGeom prst="rect">
                      <a:avLst/>
                    </a:prstGeom>
                  </pic:spPr>
                </pic:pic>
              </a:graphicData>
            </a:graphic>
          </wp:inline>
        </w:drawing>
      </w:r>
    </w:p>
    <w:p w14:paraId="27059E4C" w14:textId="0CB6EB03" w:rsidR="0094742A" w:rsidRDefault="0094742A" w:rsidP="003F70BB">
      <w:pPr>
        <w:spacing w:after="0" w:line="480" w:lineRule="auto"/>
        <w:jc w:val="center"/>
      </w:pPr>
      <w:r w:rsidRPr="0094742A">
        <w:rPr>
          <w:noProof/>
        </w:rPr>
        <w:drawing>
          <wp:inline distT="0" distB="0" distL="0" distR="0" wp14:anchorId="0B845E0B" wp14:editId="2C28C934">
            <wp:extent cx="4865278" cy="319465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2184" cy="3199192"/>
                    </a:xfrm>
                    <a:prstGeom prst="rect">
                      <a:avLst/>
                    </a:prstGeom>
                  </pic:spPr>
                </pic:pic>
              </a:graphicData>
            </a:graphic>
          </wp:inline>
        </w:drawing>
      </w:r>
    </w:p>
    <w:p w14:paraId="606281D1" w14:textId="76358C39" w:rsidR="000E3B09" w:rsidRDefault="000E3B09" w:rsidP="003F70BB">
      <w:pPr>
        <w:spacing w:after="0" w:line="480" w:lineRule="auto"/>
        <w:jc w:val="center"/>
      </w:pPr>
      <w:r w:rsidRPr="000E3B09">
        <w:rPr>
          <w:noProof/>
        </w:rPr>
        <w:lastRenderedPageBreak/>
        <w:drawing>
          <wp:inline distT="0" distB="0" distL="0" distR="0" wp14:anchorId="7F5156B9" wp14:editId="759A0615">
            <wp:extent cx="4945712" cy="324747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1462" cy="3257815"/>
                    </a:xfrm>
                    <a:prstGeom prst="rect">
                      <a:avLst/>
                    </a:prstGeom>
                  </pic:spPr>
                </pic:pic>
              </a:graphicData>
            </a:graphic>
          </wp:inline>
        </w:drawing>
      </w:r>
    </w:p>
    <w:p w14:paraId="4AB1A9DD" w14:textId="0CD47F31" w:rsidR="00B15D25" w:rsidRDefault="00B15D25" w:rsidP="003F70BB">
      <w:pPr>
        <w:spacing w:after="0" w:line="480" w:lineRule="auto"/>
        <w:jc w:val="center"/>
      </w:pPr>
      <w:r w:rsidRPr="00B15D25">
        <w:rPr>
          <w:noProof/>
        </w:rPr>
        <w:drawing>
          <wp:inline distT="0" distB="0" distL="0" distR="0" wp14:anchorId="4F203DC9" wp14:editId="6B4A74FD">
            <wp:extent cx="4738486" cy="3135197"/>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7015" cy="3154073"/>
                    </a:xfrm>
                    <a:prstGeom prst="rect">
                      <a:avLst/>
                    </a:prstGeom>
                  </pic:spPr>
                </pic:pic>
              </a:graphicData>
            </a:graphic>
          </wp:inline>
        </w:drawing>
      </w:r>
    </w:p>
    <w:p w14:paraId="4BC06513" w14:textId="7EEC1E06" w:rsidR="00AD7DAA" w:rsidRDefault="000E3B09" w:rsidP="00E47D1E">
      <w:pPr>
        <w:spacing w:after="0" w:line="480" w:lineRule="auto"/>
      </w:pPr>
      <w:r>
        <w:tab/>
        <w:t>Now that a robust background of the data has been established, we will turn to</w:t>
      </w:r>
      <w:r w:rsidR="00194699">
        <w:t xml:space="preserve"> understanding the relationship each factor (</w:t>
      </w:r>
      <w:r w:rsidR="00215CD1">
        <w:t>number of offices</w:t>
      </w:r>
      <w:r w:rsidR="00194699">
        <w:t xml:space="preserve">, </w:t>
      </w:r>
      <w:r w:rsidR="00215CD1">
        <w:t>number of employees</w:t>
      </w:r>
      <w:r w:rsidR="00194699">
        <w:t xml:space="preserve"> and </w:t>
      </w:r>
      <w:r w:rsidR="00215CD1">
        <w:t>number of partners</w:t>
      </w:r>
      <w:r w:rsidR="00194699">
        <w:t>)</w:t>
      </w:r>
      <w:r w:rsidR="00215CD1">
        <w:t xml:space="preserve"> has individually on a firm’s net revenue.</w:t>
      </w:r>
      <w:r w:rsidR="0024141B">
        <w:t xml:space="preserve"> </w:t>
      </w:r>
      <w:r w:rsidR="00CB12F1">
        <w:t xml:space="preserve">A summary of these relationships can be seen in the table below, with </w:t>
      </w:r>
      <w:r w:rsidR="00403674">
        <w:t>further description to follow.</w:t>
      </w:r>
      <w:r w:rsidR="00D22AEA">
        <w:t xml:space="preserve"> </w:t>
      </w:r>
    </w:p>
    <w:p w14:paraId="5EE0D033" w14:textId="0FD29C39" w:rsidR="002A67D6" w:rsidRDefault="002A67D6" w:rsidP="002A67D6">
      <w:pPr>
        <w:spacing w:after="0" w:line="480" w:lineRule="auto"/>
      </w:pPr>
    </w:p>
    <w:tbl>
      <w:tblPr>
        <w:tblW w:w="9610" w:type="dxa"/>
        <w:tblLook w:val="04A0" w:firstRow="1" w:lastRow="0" w:firstColumn="1" w:lastColumn="0" w:noHBand="0" w:noVBand="1"/>
      </w:tblPr>
      <w:tblGrid>
        <w:gridCol w:w="1311"/>
        <w:gridCol w:w="2588"/>
        <w:gridCol w:w="2709"/>
        <w:gridCol w:w="3002"/>
      </w:tblGrid>
      <w:tr w:rsidR="001A7910" w:rsidRPr="001A7910" w14:paraId="0DC0AB51" w14:textId="77777777" w:rsidTr="001A7910">
        <w:trPr>
          <w:trHeight w:val="730"/>
        </w:trPr>
        <w:tc>
          <w:tcPr>
            <w:tcW w:w="1311"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14:paraId="64CB61FE" w14:textId="77777777" w:rsidR="001A7910" w:rsidRPr="001A7910" w:rsidRDefault="001A7910" w:rsidP="001A7910">
            <w:pPr>
              <w:spacing w:after="0" w:line="240" w:lineRule="auto"/>
              <w:rPr>
                <w:rFonts w:ascii="Calibri" w:eastAsia="Times New Roman" w:hAnsi="Calibri" w:cs="Calibri"/>
                <w:i/>
                <w:iCs/>
                <w:color w:val="000000"/>
              </w:rPr>
            </w:pPr>
            <w:r w:rsidRPr="001A7910">
              <w:rPr>
                <w:rFonts w:ascii="Calibri" w:eastAsia="Times New Roman" w:hAnsi="Calibri" w:cs="Calibri"/>
                <w:i/>
                <w:iCs/>
                <w:color w:val="000000"/>
              </w:rPr>
              <w:t xml:space="preserve">predictor </w:t>
            </w:r>
          </w:p>
        </w:tc>
        <w:tc>
          <w:tcPr>
            <w:tcW w:w="2588" w:type="dxa"/>
            <w:tcBorders>
              <w:top w:val="single" w:sz="4" w:space="0" w:color="auto"/>
              <w:left w:val="nil"/>
              <w:bottom w:val="single" w:sz="4" w:space="0" w:color="auto"/>
              <w:right w:val="single" w:sz="4" w:space="0" w:color="auto"/>
            </w:tcBorders>
            <w:shd w:val="clear" w:color="000000" w:fill="F2DCDB"/>
            <w:vAlign w:val="center"/>
            <w:hideMark/>
          </w:tcPr>
          <w:p w14:paraId="697B4635" w14:textId="77777777" w:rsidR="001A7910" w:rsidRPr="001A7910" w:rsidRDefault="001A7910" w:rsidP="001A7910">
            <w:pPr>
              <w:spacing w:after="0" w:line="240" w:lineRule="auto"/>
              <w:jc w:val="center"/>
              <w:rPr>
                <w:rFonts w:ascii="Calibri" w:eastAsia="Times New Roman" w:hAnsi="Calibri" w:cs="Calibri"/>
                <w:b/>
                <w:bCs/>
                <w:color w:val="000000"/>
              </w:rPr>
            </w:pPr>
            <w:r w:rsidRPr="001A7910">
              <w:rPr>
                <w:rFonts w:ascii="Calibri" w:eastAsia="Times New Roman" w:hAnsi="Calibri" w:cs="Calibri"/>
                <w:b/>
                <w:bCs/>
                <w:color w:val="000000"/>
              </w:rPr>
              <w:t>Relationship with Net Revenue (</w:t>
            </w:r>
            <w:r w:rsidRPr="001A7910">
              <w:rPr>
                <w:rFonts w:ascii="Calibri" w:eastAsia="Times New Roman" w:hAnsi="Calibri" w:cs="Calibri"/>
                <w:b/>
                <w:bCs/>
                <w:i/>
                <w:iCs/>
                <w:color w:val="000000"/>
              </w:rPr>
              <w:t>Accounting Today data)</w:t>
            </w:r>
          </w:p>
        </w:tc>
        <w:tc>
          <w:tcPr>
            <w:tcW w:w="2709" w:type="dxa"/>
            <w:tcBorders>
              <w:top w:val="single" w:sz="4" w:space="0" w:color="auto"/>
              <w:left w:val="nil"/>
              <w:bottom w:val="single" w:sz="4" w:space="0" w:color="auto"/>
              <w:right w:val="single" w:sz="4" w:space="0" w:color="auto"/>
            </w:tcBorders>
            <w:shd w:val="clear" w:color="000000" w:fill="F2DCDB"/>
            <w:vAlign w:val="center"/>
            <w:hideMark/>
          </w:tcPr>
          <w:p w14:paraId="39413F8A" w14:textId="66FAC78B" w:rsidR="001A7910" w:rsidRPr="001A7910" w:rsidRDefault="007C75B5" w:rsidP="001A791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Probability</w:t>
            </w:r>
            <w:r w:rsidR="001A7910" w:rsidRPr="001A7910">
              <w:rPr>
                <w:rFonts w:ascii="Calibri" w:eastAsia="Times New Roman" w:hAnsi="Calibri" w:cs="Calibri"/>
                <w:b/>
                <w:bCs/>
                <w:color w:val="000000"/>
              </w:rPr>
              <w:t xml:space="preserve"> this result would be observed if there was actually </w:t>
            </w:r>
            <w:r w:rsidR="000B53D3">
              <w:rPr>
                <w:rFonts w:ascii="Calibri" w:eastAsia="Times New Roman" w:hAnsi="Calibri" w:cs="Calibri"/>
                <w:b/>
                <w:bCs/>
                <w:color w:val="000000"/>
              </w:rPr>
              <w:t>N</w:t>
            </w:r>
            <w:r w:rsidR="001A7910" w:rsidRPr="001A7910">
              <w:rPr>
                <w:rFonts w:ascii="Calibri" w:eastAsia="Times New Roman" w:hAnsi="Calibri" w:cs="Calibri"/>
                <w:b/>
                <w:bCs/>
                <w:color w:val="000000"/>
              </w:rPr>
              <w:t xml:space="preserve">o </w:t>
            </w:r>
            <w:r w:rsidR="000B53D3">
              <w:rPr>
                <w:rFonts w:ascii="Calibri" w:eastAsia="Times New Roman" w:hAnsi="Calibri" w:cs="Calibri"/>
                <w:b/>
                <w:bCs/>
                <w:color w:val="000000"/>
              </w:rPr>
              <w:t>R</w:t>
            </w:r>
            <w:r w:rsidR="001A7910" w:rsidRPr="001A7910">
              <w:rPr>
                <w:rFonts w:ascii="Calibri" w:eastAsia="Times New Roman" w:hAnsi="Calibri" w:cs="Calibri"/>
                <w:b/>
                <w:bCs/>
                <w:color w:val="000000"/>
              </w:rPr>
              <w:t>elationship</w:t>
            </w:r>
          </w:p>
        </w:tc>
        <w:tc>
          <w:tcPr>
            <w:tcW w:w="3002" w:type="dxa"/>
            <w:tcBorders>
              <w:top w:val="single" w:sz="4" w:space="0" w:color="auto"/>
              <w:left w:val="nil"/>
              <w:bottom w:val="single" w:sz="4" w:space="0" w:color="auto"/>
              <w:right w:val="single" w:sz="4" w:space="0" w:color="auto"/>
            </w:tcBorders>
            <w:shd w:val="clear" w:color="000000" w:fill="F2DCDB"/>
            <w:noWrap/>
            <w:vAlign w:val="center"/>
            <w:hideMark/>
          </w:tcPr>
          <w:p w14:paraId="172F5445" w14:textId="653ACB4E" w:rsidR="001A7910" w:rsidRPr="001A7910" w:rsidRDefault="001A7910" w:rsidP="001A7910">
            <w:pPr>
              <w:spacing w:after="0" w:line="240" w:lineRule="auto"/>
              <w:jc w:val="center"/>
              <w:rPr>
                <w:rFonts w:ascii="Calibri" w:eastAsia="Times New Roman" w:hAnsi="Calibri" w:cs="Calibri"/>
                <w:b/>
                <w:bCs/>
                <w:color w:val="000000"/>
              </w:rPr>
            </w:pPr>
            <w:r w:rsidRPr="001A7910">
              <w:rPr>
                <w:rFonts w:ascii="Calibri" w:eastAsia="Times New Roman" w:hAnsi="Calibri" w:cs="Calibri"/>
                <w:b/>
                <w:bCs/>
                <w:color w:val="000000"/>
              </w:rPr>
              <w:t xml:space="preserve">95% Confidence Interval </w:t>
            </w:r>
            <w:r w:rsidR="003B3300">
              <w:rPr>
                <w:rFonts w:ascii="Calibri" w:eastAsia="Times New Roman" w:hAnsi="Calibri" w:cs="Calibri"/>
                <w:b/>
                <w:bCs/>
                <w:color w:val="000000"/>
              </w:rPr>
              <w:t>for the Relationship with Net Revenue</w:t>
            </w:r>
          </w:p>
        </w:tc>
      </w:tr>
      <w:tr w:rsidR="001A7910" w:rsidRPr="001A7910" w14:paraId="482C5BD6" w14:textId="77777777" w:rsidTr="001A7910">
        <w:trPr>
          <w:trHeight w:val="929"/>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33790A82" w14:textId="77777777" w:rsidR="001A7910" w:rsidRPr="001A7910" w:rsidRDefault="001A7910" w:rsidP="001A7910">
            <w:pPr>
              <w:spacing w:after="0" w:line="240" w:lineRule="auto"/>
              <w:rPr>
                <w:rFonts w:ascii="Calibri" w:eastAsia="Times New Roman" w:hAnsi="Calibri" w:cs="Calibri"/>
                <w:b/>
                <w:bCs/>
                <w:color w:val="000000"/>
              </w:rPr>
            </w:pPr>
            <w:r w:rsidRPr="001A7910">
              <w:rPr>
                <w:rFonts w:ascii="Calibri" w:eastAsia="Times New Roman" w:hAnsi="Calibri" w:cs="Calibri"/>
                <w:b/>
                <w:bCs/>
                <w:color w:val="000000"/>
              </w:rPr>
              <w:t>Offices</w:t>
            </w:r>
          </w:p>
        </w:tc>
        <w:tc>
          <w:tcPr>
            <w:tcW w:w="2588" w:type="dxa"/>
            <w:tcBorders>
              <w:top w:val="nil"/>
              <w:left w:val="nil"/>
              <w:bottom w:val="single" w:sz="4" w:space="0" w:color="auto"/>
              <w:right w:val="single" w:sz="4" w:space="0" w:color="auto"/>
            </w:tcBorders>
            <w:shd w:val="clear" w:color="auto" w:fill="auto"/>
            <w:vAlign w:val="center"/>
            <w:hideMark/>
          </w:tcPr>
          <w:p w14:paraId="4594ED06"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$1.34 (million) increase in net revenue for each additional office</w:t>
            </w:r>
          </w:p>
        </w:tc>
        <w:tc>
          <w:tcPr>
            <w:tcW w:w="2709" w:type="dxa"/>
            <w:tcBorders>
              <w:top w:val="nil"/>
              <w:left w:val="nil"/>
              <w:bottom w:val="single" w:sz="4" w:space="0" w:color="auto"/>
              <w:right w:val="single" w:sz="4" w:space="0" w:color="auto"/>
            </w:tcBorders>
            <w:shd w:val="clear" w:color="auto" w:fill="auto"/>
            <w:noWrap/>
            <w:vAlign w:val="center"/>
            <w:hideMark/>
          </w:tcPr>
          <w:p w14:paraId="7D55EA2D"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10.70%</w:t>
            </w:r>
          </w:p>
        </w:tc>
        <w:tc>
          <w:tcPr>
            <w:tcW w:w="3002" w:type="dxa"/>
            <w:tcBorders>
              <w:top w:val="nil"/>
              <w:left w:val="nil"/>
              <w:bottom w:val="single" w:sz="4" w:space="0" w:color="auto"/>
              <w:right w:val="single" w:sz="4" w:space="0" w:color="auto"/>
            </w:tcBorders>
            <w:shd w:val="clear" w:color="auto" w:fill="auto"/>
            <w:noWrap/>
            <w:vAlign w:val="center"/>
            <w:hideMark/>
          </w:tcPr>
          <w:p w14:paraId="6405A8DF"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$-.30 (million) - $2.98 (million)</w:t>
            </w:r>
          </w:p>
        </w:tc>
      </w:tr>
      <w:tr w:rsidR="001A7910" w:rsidRPr="001A7910" w14:paraId="5CDF7830" w14:textId="77777777" w:rsidTr="001A7910">
        <w:trPr>
          <w:trHeight w:val="707"/>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68CBFF00" w14:textId="77777777" w:rsidR="001A7910" w:rsidRPr="001A7910" w:rsidRDefault="001A7910" w:rsidP="001A7910">
            <w:pPr>
              <w:spacing w:after="0" w:line="240" w:lineRule="auto"/>
              <w:rPr>
                <w:rFonts w:ascii="Calibri" w:eastAsia="Times New Roman" w:hAnsi="Calibri" w:cs="Calibri"/>
                <w:b/>
                <w:bCs/>
                <w:color w:val="000000"/>
              </w:rPr>
            </w:pPr>
            <w:r w:rsidRPr="001A7910">
              <w:rPr>
                <w:rFonts w:ascii="Calibri" w:eastAsia="Times New Roman" w:hAnsi="Calibri" w:cs="Calibri"/>
                <w:b/>
                <w:bCs/>
                <w:color w:val="000000"/>
              </w:rPr>
              <w:t>Partners</w:t>
            </w:r>
          </w:p>
        </w:tc>
        <w:tc>
          <w:tcPr>
            <w:tcW w:w="2588" w:type="dxa"/>
            <w:tcBorders>
              <w:top w:val="nil"/>
              <w:left w:val="nil"/>
              <w:bottom w:val="single" w:sz="4" w:space="0" w:color="auto"/>
              <w:right w:val="single" w:sz="4" w:space="0" w:color="auto"/>
            </w:tcBorders>
            <w:shd w:val="clear" w:color="auto" w:fill="auto"/>
            <w:vAlign w:val="center"/>
            <w:hideMark/>
          </w:tcPr>
          <w:p w14:paraId="7502902B"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$1.33 (million) increase in net revenue for each additional partner</w:t>
            </w:r>
          </w:p>
        </w:tc>
        <w:tc>
          <w:tcPr>
            <w:tcW w:w="2709" w:type="dxa"/>
            <w:tcBorders>
              <w:top w:val="nil"/>
              <w:left w:val="nil"/>
              <w:bottom w:val="single" w:sz="4" w:space="0" w:color="auto"/>
              <w:right w:val="single" w:sz="4" w:space="0" w:color="auto"/>
            </w:tcBorders>
            <w:shd w:val="clear" w:color="auto" w:fill="auto"/>
            <w:noWrap/>
            <w:vAlign w:val="center"/>
            <w:hideMark/>
          </w:tcPr>
          <w:p w14:paraId="7E61B468"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0.00000000000002%</w:t>
            </w:r>
          </w:p>
        </w:tc>
        <w:tc>
          <w:tcPr>
            <w:tcW w:w="3002" w:type="dxa"/>
            <w:tcBorders>
              <w:top w:val="nil"/>
              <w:left w:val="nil"/>
              <w:bottom w:val="single" w:sz="4" w:space="0" w:color="auto"/>
              <w:right w:val="single" w:sz="4" w:space="0" w:color="auto"/>
            </w:tcBorders>
            <w:shd w:val="clear" w:color="auto" w:fill="auto"/>
            <w:noWrap/>
            <w:vAlign w:val="center"/>
            <w:hideMark/>
          </w:tcPr>
          <w:p w14:paraId="0553047A"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$1.11 (million) - $1.55 (million)</w:t>
            </w:r>
          </w:p>
        </w:tc>
      </w:tr>
      <w:tr w:rsidR="001A7910" w:rsidRPr="001A7910" w14:paraId="63B58A62" w14:textId="77777777" w:rsidTr="001A7910">
        <w:trPr>
          <w:trHeight w:val="762"/>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412A84D" w14:textId="77777777" w:rsidR="001A7910" w:rsidRPr="001A7910" w:rsidRDefault="001A7910" w:rsidP="001A7910">
            <w:pPr>
              <w:spacing w:after="0" w:line="240" w:lineRule="auto"/>
              <w:rPr>
                <w:rFonts w:ascii="Calibri" w:eastAsia="Times New Roman" w:hAnsi="Calibri" w:cs="Calibri"/>
                <w:b/>
                <w:bCs/>
                <w:color w:val="000000"/>
              </w:rPr>
            </w:pPr>
            <w:r w:rsidRPr="001A7910">
              <w:rPr>
                <w:rFonts w:ascii="Calibri" w:eastAsia="Times New Roman" w:hAnsi="Calibri" w:cs="Calibri"/>
                <w:b/>
                <w:bCs/>
                <w:color w:val="000000"/>
              </w:rPr>
              <w:t>Employees</w:t>
            </w:r>
          </w:p>
        </w:tc>
        <w:tc>
          <w:tcPr>
            <w:tcW w:w="2588" w:type="dxa"/>
            <w:tcBorders>
              <w:top w:val="nil"/>
              <w:left w:val="nil"/>
              <w:bottom w:val="single" w:sz="4" w:space="0" w:color="auto"/>
              <w:right w:val="single" w:sz="4" w:space="0" w:color="auto"/>
            </w:tcBorders>
            <w:shd w:val="clear" w:color="auto" w:fill="auto"/>
            <w:vAlign w:val="center"/>
            <w:hideMark/>
          </w:tcPr>
          <w:p w14:paraId="5ACF43CC"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$.173 (million) increase in net revenue for each additional employee</w:t>
            </w:r>
          </w:p>
        </w:tc>
        <w:tc>
          <w:tcPr>
            <w:tcW w:w="2709" w:type="dxa"/>
            <w:tcBorders>
              <w:top w:val="nil"/>
              <w:left w:val="nil"/>
              <w:bottom w:val="single" w:sz="4" w:space="0" w:color="auto"/>
              <w:right w:val="single" w:sz="4" w:space="0" w:color="auto"/>
            </w:tcBorders>
            <w:shd w:val="clear" w:color="auto" w:fill="auto"/>
            <w:noWrap/>
            <w:vAlign w:val="center"/>
            <w:hideMark/>
          </w:tcPr>
          <w:p w14:paraId="5C68E14B"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0.00000000000002%</w:t>
            </w:r>
          </w:p>
        </w:tc>
        <w:tc>
          <w:tcPr>
            <w:tcW w:w="3002" w:type="dxa"/>
            <w:tcBorders>
              <w:top w:val="nil"/>
              <w:left w:val="nil"/>
              <w:bottom w:val="single" w:sz="4" w:space="0" w:color="auto"/>
              <w:right w:val="single" w:sz="4" w:space="0" w:color="auto"/>
            </w:tcBorders>
            <w:shd w:val="clear" w:color="auto" w:fill="auto"/>
            <w:noWrap/>
            <w:vAlign w:val="center"/>
            <w:hideMark/>
          </w:tcPr>
          <w:p w14:paraId="3E97E193" w14:textId="77777777" w:rsidR="001A7910" w:rsidRPr="001A7910" w:rsidRDefault="001A7910" w:rsidP="001A7910">
            <w:pPr>
              <w:spacing w:after="0" w:line="240" w:lineRule="auto"/>
              <w:jc w:val="center"/>
              <w:rPr>
                <w:rFonts w:ascii="Calibri" w:eastAsia="Times New Roman" w:hAnsi="Calibri" w:cs="Calibri"/>
                <w:color w:val="000000"/>
              </w:rPr>
            </w:pPr>
            <w:r w:rsidRPr="001A7910">
              <w:rPr>
                <w:rFonts w:ascii="Calibri" w:eastAsia="Times New Roman" w:hAnsi="Calibri" w:cs="Calibri"/>
                <w:color w:val="000000"/>
              </w:rPr>
              <w:t>$.16 (million) - $.19 (million)</w:t>
            </w:r>
          </w:p>
        </w:tc>
      </w:tr>
    </w:tbl>
    <w:p w14:paraId="1DBFF9EC" w14:textId="0DA407E7" w:rsidR="001A7910" w:rsidRDefault="00C43230" w:rsidP="00C43230">
      <w:pPr>
        <w:spacing w:after="0" w:line="480" w:lineRule="auto"/>
        <w:jc w:val="right"/>
      </w:pPr>
      <w:r>
        <w:tab/>
        <w:t>Table 2</w:t>
      </w:r>
    </w:p>
    <w:p w14:paraId="193E7593" w14:textId="16807B5F" w:rsidR="002A67D6" w:rsidRPr="00FC072C" w:rsidRDefault="00D24D02" w:rsidP="002A67D6">
      <w:pPr>
        <w:spacing w:after="0" w:line="480" w:lineRule="auto"/>
      </w:pPr>
      <w:r>
        <w:t xml:space="preserve">As evident by the </w:t>
      </w:r>
      <w:r w:rsidR="00DC3957">
        <w:t>table</w:t>
      </w:r>
      <w:r>
        <w:t>, the number of offices, partners, and employees</w:t>
      </w:r>
      <w:r w:rsidR="00101C10">
        <w:t xml:space="preserve"> a firm has</w:t>
      </w:r>
      <w:r>
        <w:t xml:space="preserve"> are all </w:t>
      </w:r>
      <w:r w:rsidR="0043400C">
        <w:t xml:space="preserve">significantly and </w:t>
      </w:r>
      <w:r>
        <w:t xml:space="preserve">positively related </w:t>
      </w:r>
      <w:r w:rsidR="00DC3957">
        <w:t>to an accounting firm’s net revenue when looked at individually</w:t>
      </w:r>
      <w:r w:rsidR="00454ABE">
        <w:t xml:space="preserve"> in the context of the </w:t>
      </w:r>
      <w:r w:rsidR="00454ABE">
        <w:rPr>
          <w:i/>
          <w:iCs/>
        </w:rPr>
        <w:t xml:space="preserve">Accounting Today </w:t>
      </w:r>
      <w:r w:rsidR="00454ABE">
        <w:t>data</w:t>
      </w:r>
      <w:r w:rsidR="00CE5AC7">
        <w:t xml:space="preserve">, </w:t>
      </w:r>
      <w:r w:rsidR="00454ABE">
        <w:t xml:space="preserve">each </w:t>
      </w:r>
      <w:r w:rsidR="00CE5AC7">
        <w:t>with varying degrees of confidence in the stated relationship</w:t>
      </w:r>
      <w:r w:rsidR="00DC3957">
        <w:t xml:space="preserve">. </w:t>
      </w:r>
      <w:r w:rsidR="004E760C">
        <w:t>This relationship between each factor and net revenue can also be seen in the below graphs</w:t>
      </w:r>
      <w:r w:rsidR="00A47861">
        <w:t>. The positive trend of the data coincides</w:t>
      </w:r>
      <w:r w:rsidR="006B045D">
        <w:t xml:space="preserve"> </w:t>
      </w:r>
      <w:r w:rsidR="00A47861">
        <w:t>with the aforementioned relationship. Within the data, as one of the factors increases we would expect to see a</w:t>
      </w:r>
      <w:r w:rsidR="007753EC">
        <w:t>n increase</w:t>
      </w:r>
      <w:r w:rsidR="006C03B5">
        <w:t>, of varying magnitude depending on the specific factor,</w:t>
      </w:r>
      <w:r w:rsidR="007753EC">
        <w:t xml:space="preserve"> in the net revenue for the firm, as well. </w:t>
      </w:r>
      <w:r w:rsidR="00A72F3F">
        <w:t xml:space="preserve">Furthermore, using the same interpretation of confidence intervals as prior, </w:t>
      </w:r>
      <w:r w:rsidR="00AA60FD">
        <w:t>the table</w:t>
      </w:r>
      <w:r w:rsidR="00866C9D">
        <w:t xml:space="preserve"> above</w:t>
      </w:r>
      <w:r w:rsidR="00AA60FD">
        <w:t xml:space="preserve"> provides inference about the potential relationship each factor has with net revenue</w:t>
      </w:r>
      <w:r w:rsidR="00A8145A">
        <w:t xml:space="preserve"> beyond the scope of the </w:t>
      </w:r>
      <w:r w:rsidR="005C7C04">
        <w:t xml:space="preserve">2019 </w:t>
      </w:r>
      <w:r w:rsidR="005C7C04">
        <w:rPr>
          <w:i/>
          <w:iCs/>
        </w:rPr>
        <w:t>Accounting Today</w:t>
      </w:r>
      <w:r w:rsidR="005C7C04">
        <w:t xml:space="preserve"> data</w:t>
      </w:r>
      <w:r w:rsidR="00A8145A">
        <w:t>.</w:t>
      </w:r>
    </w:p>
    <w:p w14:paraId="307FEB06" w14:textId="5459FCB1" w:rsidR="00E9473D" w:rsidRDefault="003E521F" w:rsidP="006B221E">
      <w:pPr>
        <w:spacing w:after="0" w:line="480" w:lineRule="auto"/>
        <w:ind w:firstLine="720"/>
      </w:pPr>
      <w:r>
        <w:lastRenderedPageBreak/>
        <w:t xml:space="preserve"> </w:t>
      </w:r>
      <w:r w:rsidR="00117E1C" w:rsidRPr="00117E1C">
        <w:rPr>
          <w:noProof/>
        </w:rPr>
        <w:drawing>
          <wp:inline distT="0" distB="0" distL="0" distR="0" wp14:anchorId="1B4001DF" wp14:editId="398A0339">
            <wp:extent cx="5128591" cy="3341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8591" cy="3341803"/>
                    </a:xfrm>
                    <a:prstGeom prst="rect">
                      <a:avLst/>
                    </a:prstGeom>
                  </pic:spPr>
                </pic:pic>
              </a:graphicData>
            </a:graphic>
          </wp:inline>
        </w:drawing>
      </w:r>
    </w:p>
    <w:p w14:paraId="211DC984" w14:textId="2FFBE8F6" w:rsidR="00087603" w:rsidRDefault="00FC2F58" w:rsidP="003F70BB">
      <w:pPr>
        <w:spacing w:after="0" w:line="240" w:lineRule="auto"/>
        <w:jc w:val="center"/>
      </w:pPr>
      <w:r w:rsidRPr="00FC2F58">
        <w:rPr>
          <w:noProof/>
        </w:rPr>
        <w:drawing>
          <wp:inline distT="0" distB="0" distL="0" distR="0" wp14:anchorId="2A57991B" wp14:editId="524F41F9">
            <wp:extent cx="5072932" cy="329198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106" cy="3300534"/>
                    </a:xfrm>
                    <a:prstGeom prst="rect">
                      <a:avLst/>
                    </a:prstGeom>
                  </pic:spPr>
                </pic:pic>
              </a:graphicData>
            </a:graphic>
          </wp:inline>
        </w:drawing>
      </w:r>
    </w:p>
    <w:p w14:paraId="6E24EE7F" w14:textId="19DE62C5" w:rsidR="00FC2F58" w:rsidRDefault="00FC2F58" w:rsidP="00087603">
      <w:pPr>
        <w:spacing w:after="0" w:line="240" w:lineRule="auto"/>
      </w:pPr>
    </w:p>
    <w:p w14:paraId="037FD0F3" w14:textId="64834903" w:rsidR="00FC2F58" w:rsidRDefault="00FC2F58" w:rsidP="003F70BB">
      <w:pPr>
        <w:spacing w:after="0" w:line="240" w:lineRule="auto"/>
        <w:jc w:val="center"/>
      </w:pPr>
      <w:r w:rsidRPr="00FC2F58">
        <w:rPr>
          <w:noProof/>
        </w:rPr>
        <w:lastRenderedPageBreak/>
        <w:drawing>
          <wp:inline distT="0" distB="0" distL="0" distR="0" wp14:anchorId="29858BBD" wp14:editId="1877DE29">
            <wp:extent cx="5058681" cy="3294629"/>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4715" cy="3311584"/>
                    </a:xfrm>
                    <a:prstGeom prst="rect">
                      <a:avLst/>
                    </a:prstGeom>
                  </pic:spPr>
                </pic:pic>
              </a:graphicData>
            </a:graphic>
          </wp:inline>
        </w:drawing>
      </w:r>
    </w:p>
    <w:p w14:paraId="1B94EC4E" w14:textId="273295E4" w:rsidR="00FC2F58" w:rsidRDefault="00FC2F58" w:rsidP="00087603">
      <w:pPr>
        <w:spacing w:after="0" w:line="240" w:lineRule="auto"/>
      </w:pPr>
    </w:p>
    <w:p w14:paraId="5AAD1568" w14:textId="70350E03" w:rsidR="00FC2F58" w:rsidRDefault="003D4660" w:rsidP="003D4660">
      <w:pPr>
        <w:spacing w:after="0" w:line="480" w:lineRule="auto"/>
      </w:pPr>
      <w:r>
        <w:tab/>
        <w:t xml:space="preserve">It has also been suggested that the number of offices a firm has within a region might </w:t>
      </w:r>
      <w:r w:rsidR="00F206B2">
        <w:t xml:space="preserve">actually </w:t>
      </w:r>
      <w:r>
        <w:t xml:space="preserve">have a </w:t>
      </w:r>
      <w:r w:rsidR="006A24C7">
        <w:t>negative effect</w:t>
      </w:r>
      <w:r>
        <w:t xml:space="preserve"> on the firm’s net revenue</w:t>
      </w:r>
      <w:r w:rsidR="006A24C7">
        <w:t>, past a certain threshold</w:t>
      </w:r>
      <w:r>
        <w:t xml:space="preserve">. </w:t>
      </w:r>
      <w:r w:rsidR="00E420C3">
        <w:t>To test this claim, the data was analyzed to try and evidence that</w:t>
      </w:r>
      <w:r w:rsidR="00A761D0">
        <w:t xml:space="preserve"> firms with an intermediate number of offices </w:t>
      </w:r>
      <w:r w:rsidR="00211B09">
        <w:t xml:space="preserve">have </w:t>
      </w:r>
      <w:r w:rsidR="00451888">
        <w:t xml:space="preserve">net </w:t>
      </w:r>
      <w:r w:rsidR="00211B09">
        <w:t xml:space="preserve">revenues higher than that of the firms with </w:t>
      </w:r>
      <w:r w:rsidR="007E1925">
        <w:t xml:space="preserve">comparatively greater or lesser number of </w:t>
      </w:r>
      <w:r w:rsidR="00381CF2">
        <w:t>offices, a relationship that if found to exist can be described concisely as “concave”</w:t>
      </w:r>
      <w:r w:rsidR="004D4CB1">
        <w:t xml:space="preserve">. </w:t>
      </w:r>
      <w:r w:rsidR="00F206B2">
        <w:t xml:space="preserve">The result of this analysis </w:t>
      </w:r>
      <w:r w:rsidR="00411B09">
        <w:t xml:space="preserve">was that given the data, there is an 11.65% </w:t>
      </w:r>
      <w:r w:rsidR="006B1FCC">
        <w:t>probability</w:t>
      </w:r>
      <w:r w:rsidR="00411B09">
        <w:t xml:space="preserve"> that the </w:t>
      </w:r>
      <w:r w:rsidR="00217AF0">
        <w:t xml:space="preserve">data would be distributed as it is, given that there </w:t>
      </w:r>
      <w:r w:rsidR="00A42496">
        <w:t>is actually</w:t>
      </w:r>
      <w:r w:rsidR="00217AF0">
        <w:t xml:space="preserve"> no concave relationship between the number of offices and net revenue.</w:t>
      </w:r>
      <w:r w:rsidR="007245AA">
        <w:t xml:space="preserve"> This suggests that the </w:t>
      </w:r>
      <w:r w:rsidR="00164E9A">
        <w:t xml:space="preserve">aforementioned </w:t>
      </w:r>
      <w:r w:rsidR="007245AA">
        <w:t xml:space="preserve">claim is substantiated to some degree, depending on the </w:t>
      </w:r>
      <w:r w:rsidR="00AA3402">
        <w:t xml:space="preserve">risk preference of the interpreter. </w:t>
      </w:r>
      <w:r w:rsidR="0055088B">
        <w:t>The concavity of the data can be seen within the below chart, where a</w:t>
      </w:r>
      <w:r w:rsidR="00AD6656">
        <w:t xml:space="preserve"> non-linear</w:t>
      </w:r>
      <w:r w:rsidR="0055088B">
        <w:t xml:space="preserve"> line was added to the previous </w:t>
      </w:r>
      <w:r w:rsidR="00085E1C">
        <w:t>display</w:t>
      </w:r>
      <w:r w:rsidR="004C7C62">
        <w:t xml:space="preserve">. </w:t>
      </w:r>
    </w:p>
    <w:p w14:paraId="037FAA92" w14:textId="0DB059F0" w:rsidR="003F132C" w:rsidRDefault="003F132C" w:rsidP="003F70BB">
      <w:pPr>
        <w:spacing w:after="0" w:line="480" w:lineRule="auto"/>
        <w:jc w:val="center"/>
      </w:pPr>
      <w:r w:rsidRPr="003F132C">
        <w:rPr>
          <w:noProof/>
        </w:rPr>
        <w:lastRenderedPageBreak/>
        <w:drawing>
          <wp:inline distT="0" distB="0" distL="0" distR="0" wp14:anchorId="1674E11C" wp14:editId="71572CF3">
            <wp:extent cx="4898003" cy="321038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6359" cy="3228975"/>
                    </a:xfrm>
                    <a:prstGeom prst="rect">
                      <a:avLst/>
                    </a:prstGeom>
                  </pic:spPr>
                </pic:pic>
              </a:graphicData>
            </a:graphic>
          </wp:inline>
        </w:drawing>
      </w:r>
    </w:p>
    <w:p w14:paraId="4453B297" w14:textId="75D58C76" w:rsidR="003F132C" w:rsidRDefault="00132FDE" w:rsidP="003D4660">
      <w:pPr>
        <w:spacing w:after="0" w:line="480" w:lineRule="auto"/>
      </w:pPr>
      <w:r>
        <w:tab/>
        <w:t>Now that the relationship</w:t>
      </w:r>
      <w:r w:rsidR="00E02B32">
        <w:t>s</w:t>
      </w:r>
      <w:r>
        <w:t xml:space="preserve"> between each of the aforementioned factors and net revenue ha</w:t>
      </w:r>
      <w:r w:rsidR="00DE60E6">
        <w:t>ve</w:t>
      </w:r>
      <w:r>
        <w:t xml:space="preserve"> been explored </w:t>
      </w:r>
      <w:r w:rsidR="00A03B12">
        <w:t>on individual level</w:t>
      </w:r>
      <w:r w:rsidR="00A53E47">
        <w:t>s</w:t>
      </w:r>
      <w:r w:rsidR="00A03B12">
        <w:t xml:space="preserve">, we will now turn to evaluating each factor within the context of one aggregate relationship. </w:t>
      </w:r>
      <w:r w:rsidR="00866EB9">
        <w:t xml:space="preserve">Unlike </w:t>
      </w:r>
      <w:r w:rsidR="00897903">
        <w:t>the previous analysis</w:t>
      </w:r>
      <w:r w:rsidR="00866EB9">
        <w:t xml:space="preserve">, this aggregate relationship will also account specifically for the region the firm exists within, </w:t>
      </w:r>
      <w:r w:rsidR="00867AA7">
        <w:t>providing</w:t>
      </w:r>
      <w:r w:rsidR="007D5213">
        <w:t xml:space="preserve"> </w:t>
      </w:r>
      <w:r w:rsidR="006808EA">
        <w:t>insight</w:t>
      </w:r>
      <w:r w:rsidR="007D5213">
        <w:t xml:space="preserve"> </w:t>
      </w:r>
      <w:r w:rsidR="009D6063">
        <w:t>to the question “</w:t>
      </w:r>
      <w:r w:rsidR="00897903">
        <w:t>Are</w:t>
      </w:r>
      <w:r w:rsidR="009D6063">
        <w:t xml:space="preserve"> there any differences between accounting firms across different regions, all else equal?”. </w:t>
      </w:r>
    </w:p>
    <w:p w14:paraId="52EA918F" w14:textId="3850FB65" w:rsidR="006351B7" w:rsidRDefault="007B1FCF" w:rsidP="00593CB9">
      <w:pPr>
        <w:spacing w:after="0" w:line="480" w:lineRule="auto"/>
      </w:pPr>
      <w:r>
        <w:tab/>
        <w:t>The first aggregate relationship</w:t>
      </w:r>
      <w:r w:rsidR="00960AA0">
        <w:t xml:space="preserve"> </w:t>
      </w:r>
      <w:r>
        <w:t xml:space="preserve">that </w:t>
      </w:r>
      <w:r w:rsidR="00B343E8">
        <w:t>wa</w:t>
      </w:r>
      <w:r w:rsidR="00CE0914">
        <w:t>s explored is</w:t>
      </w:r>
      <w:r>
        <w:t xml:space="preserve"> </w:t>
      </w:r>
      <w:r w:rsidR="002841AB">
        <w:t>the relationship that each factor</w:t>
      </w:r>
      <w:r w:rsidR="003471DA">
        <w:t xml:space="preserve"> has within a holistic model</w:t>
      </w:r>
      <w:r w:rsidR="0077063A">
        <w:t xml:space="preserve"> to</w:t>
      </w:r>
      <w:r w:rsidR="000C2FE9">
        <w:t xml:space="preserve"> net revenue whe</w:t>
      </w:r>
      <w:r w:rsidR="00F9459D">
        <w:t>n</w:t>
      </w:r>
      <w:r w:rsidR="000C2FE9">
        <w:t xml:space="preserve"> the </w:t>
      </w:r>
      <w:r w:rsidR="0037600D">
        <w:t xml:space="preserve">aforementioned </w:t>
      </w:r>
      <w:r w:rsidR="000C2FE9">
        <w:t xml:space="preserve">potential concave relationship </w:t>
      </w:r>
      <w:r w:rsidR="0077063A">
        <w:t xml:space="preserve">between </w:t>
      </w:r>
      <w:r w:rsidR="002237F9">
        <w:t xml:space="preserve">the number of offices </w:t>
      </w:r>
      <w:r w:rsidR="007671C0">
        <w:t>and</w:t>
      </w:r>
      <w:r w:rsidR="000C2FE9">
        <w:t xml:space="preserve"> net revenue is ignored. </w:t>
      </w:r>
      <w:r w:rsidR="00CC229B">
        <w:t xml:space="preserve">In </w:t>
      </w:r>
      <w:r w:rsidR="005C4FC3">
        <w:t xml:space="preserve">running the necessary analysis, </w:t>
      </w:r>
      <w:r w:rsidR="00CC229B">
        <w:t xml:space="preserve">it can be found that </w:t>
      </w:r>
      <w:r w:rsidR="005C4FC3">
        <w:t xml:space="preserve">this aggregate model for predicting net revenue </w:t>
      </w:r>
      <w:r w:rsidR="00CC229B">
        <w:t>describe</w:t>
      </w:r>
      <w:r w:rsidR="002841B1">
        <w:t>s 94.07% of all variability in net revenue</w:t>
      </w:r>
      <w:r w:rsidR="007C5109">
        <w:t xml:space="preserve">, </w:t>
      </w:r>
      <w:r w:rsidR="004020E2">
        <w:t>a particularly robust percentage when considering the inevitable uncertainty that exists within the real-world which cannot be removed</w:t>
      </w:r>
      <w:r w:rsidR="002841B1">
        <w:t xml:space="preserve">. </w:t>
      </w:r>
      <w:r w:rsidR="00847CCC">
        <w:t>Furthermore, each of the previously</w:t>
      </w:r>
      <w:r w:rsidR="00A0306F">
        <w:t xml:space="preserve"> analyzed</w:t>
      </w:r>
      <w:r w:rsidR="00847CCC">
        <w:t xml:space="preserve"> factors (number of offices, number of partners, and number of employees) remain</w:t>
      </w:r>
      <w:r w:rsidR="00A0306F">
        <w:t xml:space="preserve"> </w:t>
      </w:r>
      <w:r w:rsidR="005E5B35">
        <w:t xml:space="preserve">probable </w:t>
      </w:r>
      <w:r w:rsidR="00847CCC">
        <w:t>significant</w:t>
      </w:r>
      <w:r w:rsidR="00A0306F">
        <w:t xml:space="preserve"> predictors</w:t>
      </w:r>
      <w:r w:rsidR="00847CCC">
        <w:t xml:space="preserve"> within the model</w:t>
      </w:r>
      <w:r w:rsidR="00EC357D">
        <w:t xml:space="preserve">, this time when </w:t>
      </w:r>
      <w:r w:rsidR="00886DEA">
        <w:t>considering their in</w:t>
      </w:r>
      <w:r w:rsidR="007855C5">
        <w:t>fluence above and beyond that of the other predictors</w:t>
      </w:r>
      <w:r w:rsidR="00EC357D">
        <w:t xml:space="preserve">. </w:t>
      </w:r>
      <w:r w:rsidR="00F2109C">
        <w:t>When considering the relationship that a firm</w:t>
      </w:r>
      <w:r w:rsidR="001923ED">
        <w:t>’</w:t>
      </w:r>
      <w:r w:rsidR="00F2109C">
        <w:t>s region</w:t>
      </w:r>
      <w:r w:rsidR="00A92E68">
        <w:t xml:space="preserve"> </w:t>
      </w:r>
      <w:r w:rsidR="00F2109C">
        <w:t>has on their net revenue</w:t>
      </w:r>
      <w:r w:rsidR="00B3090E">
        <w:t xml:space="preserve">, </w:t>
      </w:r>
      <w:r w:rsidR="00F2109C">
        <w:t xml:space="preserve">the </w:t>
      </w:r>
      <w:r w:rsidR="00FC0E63">
        <w:t>probability</w:t>
      </w:r>
      <w:r w:rsidR="00611AB7">
        <w:t xml:space="preserve"> </w:t>
      </w:r>
      <w:r w:rsidR="00BF33E5">
        <w:t xml:space="preserve">the </w:t>
      </w:r>
      <w:r w:rsidR="00611AB7">
        <w:lastRenderedPageBreak/>
        <w:t>predictor</w:t>
      </w:r>
      <w:r w:rsidR="00BF33E5">
        <w:t xml:space="preserve"> </w:t>
      </w:r>
      <w:r w:rsidR="00E608BD">
        <w:t xml:space="preserve">has no </w:t>
      </w:r>
      <w:r w:rsidR="00BF33E5">
        <w:t xml:space="preserve">significant </w:t>
      </w:r>
      <w:r w:rsidR="00B3090E">
        <w:t>effect</w:t>
      </w:r>
      <w:r w:rsidR="00E608BD">
        <w:t xml:space="preserve"> </w:t>
      </w:r>
      <w:r w:rsidR="00504672">
        <w:t xml:space="preserve">on </w:t>
      </w:r>
      <w:r w:rsidR="00BF33E5">
        <w:t>net revenue</w:t>
      </w:r>
      <w:r w:rsidR="00611AB7">
        <w:t xml:space="preserve"> </w:t>
      </w:r>
      <w:r w:rsidR="001923ED">
        <w:t xml:space="preserve">is substantially </w:t>
      </w:r>
      <w:r w:rsidR="00E608BD">
        <w:t>greater</w:t>
      </w:r>
      <w:r w:rsidR="001923ED">
        <w:t xml:space="preserve"> than that of the</w:t>
      </w:r>
      <w:r w:rsidR="00FC0E63">
        <w:t xml:space="preserve"> other factors in the model.</w:t>
      </w:r>
      <w:r w:rsidR="00236A8E">
        <w:t xml:space="preserve"> Within the model, it was found that there is a 19.24% </w:t>
      </w:r>
      <w:r w:rsidR="000D7DAE">
        <w:t>probability</w:t>
      </w:r>
      <w:r w:rsidR="00091E3F">
        <w:t xml:space="preserve"> </w:t>
      </w:r>
      <w:r w:rsidR="001B0AE5">
        <w:t xml:space="preserve">that the results produced would be seen </w:t>
      </w:r>
      <w:r w:rsidR="00F62495">
        <w:t>i</w:t>
      </w:r>
      <w:r w:rsidR="003A2E9E">
        <w:t xml:space="preserve">f </w:t>
      </w:r>
      <w:r w:rsidR="004D253D">
        <w:t xml:space="preserve">a firm’s </w:t>
      </w:r>
      <w:r w:rsidR="003A2E9E">
        <w:t xml:space="preserve">region did not have a relationship with </w:t>
      </w:r>
      <w:r w:rsidR="00091E3F">
        <w:t>net revenue</w:t>
      </w:r>
      <w:r w:rsidR="00DC0A62">
        <w:t xml:space="preserve">, given the presence of the other factors. This probability is not prohibitively high to suggest that there is definitively no relationship between region and </w:t>
      </w:r>
      <w:r w:rsidR="001F2198">
        <w:t xml:space="preserve">net revenue, but it is high enough to result in pause for concern. </w:t>
      </w:r>
    </w:p>
    <w:p w14:paraId="33816A65" w14:textId="33F48EF0" w:rsidR="007B1FCF" w:rsidRDefault="006351B7" w:rsidP="00C80EBC">
      <w:pPr>
        <w:spacing w:after="0" w:line="480" w:lineRule="auto"/>
        <w:ind w:firstLine="720"/>
      </w:pPr>
      <w:r>
        <w:t xml:space="preserve">Furthering the </w:t>
      </w:r>
      <w:r w:rsidR="00991F06">
        <w:t>interpretation</w:t>
      </w:r>
      <w:r>
        <w:t xml:space="preserve"> of the </w:t>
      </w:r>
      <w:r w:rsidR="000B5167">
        <w:t xml:space="preserve">aggregate model, </w:t>
      </w:r>
      <w:r w:rsidR="00991F06">
        <w:t xml:space="preserve">the results of the analysis now suggest </w:t>
      </w:r>
      <w:r w:rsidR="000B5167">
        <w:t xml:space="preserve">that the number of offices a firm has actually has a negative relationship with </w:t>
      </w:r>
      <w:r w:rsidR="00053997">
        <w:t xml:space="preserve">net revenue, given the presence of the other factors. Holding all else equal, </w:t>
      </w:r>
      <w:r w:rsidR="00593CB9">
        <w:t xml:space="preserve">net revenue is now suggested to </w:t>
      </w:r>
      <w:r w:rsidR="00593CB9" w:rsidRPr="00593CB9">
        <w:rPr>
          <w:i/>
          <w:iCs/>
        </w:rPr>
        <w:t>decrease</w:t>
      </w:r>
      <w:r w:rsidR="00593CB9">
        <w:t xml:space="preserve"> by $1.034 (million) for every additional office a firm has</w:t>
      </w:r>
      <w:r w:rsidR="000E6231">
        <w:t>, within the scope of the data</w:t>
      </w:r>
      <w:r w:rsidR="00593CB9">
        <w:t>.</w:t>
      </w:r>
      <w:r w:rsidR="00C80EBC">
        <w:t xml:space="preserve"> </w:t>
      </w:r>
      <w:r w:rsidR="00687E72">
        <w:t>Unfortunately</w:t>
      </w:r>
      <w:r w:rsidR="00C22345">
        <w:t>,</w:t>
      </w:r>
      <w:r w:rsidR="00687E72">
        <w:t xml:space="preserve"> due to </w:t>
      </w:r>
      <w:r w:rsidR="00BD4D41">
        <w:t xml:space="preserve">aspects </w:t>
      </w:r>
      <w:r w:rsidR="0002493F">
        <w:t>inherent within the</w:t>
      </w:r>
      <w:r w:rsidR="00BD4D41">
        <w:t xml:space="preserve"> data used </w:t>
      </w:r>
      <w:r w:rsidR="0002493F">
        <w:t>for</w:t>
      </w:r>
      <w:r w:rsidR="00BD4D41">
        <w:t xml:space="preserve"> this analysis, </w:t>
      </w:r>
      <w:r w:rsidR="00161920">
        <w:t xml:space="preserve">the relationship </w:t>
      </w:r>
      <w:r w:rsidR="004D253D">
        <w:t>the other</w:t>
      </w:r>
      <w:r w:rsidR="00161920">
        <w:t xml:space="preserve"> factor</w:t>
      </w:r>
      <w:r w:rsidR="00DF6EA1">
        <w:t>s</w:t>
      </w:r>
      <w:r w:rsidR="00960AA0">
        <w:t xml:space="preserve"> themselves</w:t>
      </w:r>
      <w:r w:rsidR="00161920">
        <w:t xml:space="preserve"> h</w:t>
      </w:r>
      <w:r w:rsidR="00960AA0">
        <w:t>ave</w:t>
      </w:r>
      <w:r w:rsidR="00161920">
        <w:t xml:space="preserve"> on net revenue within this greater model cannot be interpreted. More analysis would b</w:t>
      </w:r>
      <w:r w:rsidR="00C22345">
        <w:t>e needed to properly</w:t>
      </w:r>
      <w:r w:rsidR="00834B29">
        <w:t xml:space="preserve"> interpret each factor</w:t>
      </w:r>
      <w:r w:rsidR="00B767E5">
        <w:t>’</w:t>
      </w:r>
      <w:r w:rsidR="00834B29">
        <w:t xml:space="preserve">s relationship with net revenue, </w:t>
      </w:r>
      <w:r w:rsidR="00B767E5">
        <w:t>holding all of the other influencing factors constant.</w:t>
      </w:r>
      <w:r w:rsidR="00442424">
        <w:t xml:space="preserve"> </w:t>
      </w:r>
    </w:p>
    <w:p w14:paraId="77D65CC2" w14:textId="1EB232EB" w:rsidR="00A64743" w:rsidRDefault="00960AA0" w:rsidP="00C80EBC">
      <w:pPr>
        <w:spacing w:after="0" w:line="480" w:lineRule="auto"/>
        <w:ind w:firstLine="720"/>
      </w:pPr>
      <w:r>
        <w:t xml:space="preserve">The second aggregate </w:t>
      </w:r>
      <w:r w:rsidR="005E4A4F">
        <w:t>model</w:t>
      </w:r>
      <w:r>
        <w:t xml:space="preserve"> that </w:t>
      </w:r>
      <w:r w:rsidR="000406C8">
        <w:t xml:space="preserve">was analyzed </w:t>
      </w:r>
      <w:r w:rsidR="001A6183">
        <w:t>was</w:t>
      </w:r>
      <w:r w:rsidR="006523F9">
        <w:t xml:space="preserve"> one that now include</w:t>
      </w:r>
      <w:r w:rsidR="001A6183">
        <w:t>d</w:t>
      </w:r>
      <w:r w:rsidR="006523F9">
        <w:t xml:space="preserve"> the concave relationship </w:t>
      </w:r>
      <w:r w:rsidR="00831804">
        <w:t>between offices and net revenue</w:t>
      </w:r>
      <w:r w:rsidR="00592FD1">
        <w:t xml:space="preserve">, in addition to all of the same factors </w:t>
      </w:r>
      <w:r w:rsidR="00701432">
        <w:t>of</w:t>
      </w:r>
      <w:r w:rsidR="00592FD1">
        <w:t xml:space="preserve"> the previous model</w:t>
      </w:r>
      <w:r w:rsidR="00831804">
        <w:t>. Performing essentially identical analysis, t</w:t>
      </w:r>
      <w:r w:rsidR="00592FD1">
        <w:t xml:space="preserve">his </w:t>
      </w:r>
      <w:r w:rsidR="00A84F6D">
        <w:t xml:space="preserve">new </w:t>
      </w:r>
      <w:r w:rsidR="00592FD1">
        <w:t xml:space="preserve">model </w:t>
      </w:r>
      <w:r w:rsidR="00211E90">
        <w:t>was</w:t>
      </w:r>
      <w:r w:rsidR="00A84F6D">
        <w:t xml:space="preserve"> found to predict 95.47% of all variability in net revenue, representing a </w:t>
      </w:r>
      <w:r w:rsidR="002B48C2">
        <w:t>1.4% increase</w:t>
      </w:r>
      <w:r w:rsidR="00E220F6">
        <w:t xml:space="preserve"> in how much variability is captured. </w:t>
      </w:r>
      <w:r w:rsidR="00B72E2A">
        <w:t>It</w:t>
      </w:r>
      <w:r w:rsidR="0007244E">
        <w:t xml:space="preserve"> is important to note that this result does not ex</w:t>
      </w:r>
      <w:r w:rsidR="00C53547">
        <w:t xml:space="preserve">plicitly </w:t>
      </w:r>
      <w:r w:rsidR="0021640A">
        <w:t>mean</w:t>
      </w:r>
      <w:r w:rsidR="00C53547">
        <w:t xml:space="preserve"> that this model is an objectively better model </w:t>
      </w:r>
      <w:r w:rsidR="00B72E2A">
        <w:t>n</w:t>
      </w:r>
      <w:r w:rsidR="00C53547">
        <w:t xml:space="preserve">or that a concave relationship between the number of offices and net revenue </w:t>
      </w:r>
      <w:r w:rsidR="00565222">
        <w:t xml:space="preserve">definitively </w:t>
      </w:r>
      <w:r w:rsidR="00C53547">
        <w:t>exists.</w:t>
      </w:r>
      <w:r w:rsidR="00687D0C">
        <w:t xml:space="preserve"> </w:t>
      </w:r>
      <w:r w:rsidR="00C53547">
        <w:t>In reality,</w:t>
      </w:r>
      <w:r w:rsidR="00687D0C">
        <w:t xml:space="preserve"> there are numerous other factors that influence the value of a model, </w:t>
      </w:r>
      <w:r w:rsidR="00C53547">
        <w:t xml:space="preserve">and to capture all of them more analysis would be needed. </w:t>
      </w:r>
    </w:p>
    <w:p w14:paraId="5CDBE754" w14:textId="6FC083E9" w:rsidR="003D4660" w:rsidRPr="00091F9C" w:rsidRDefault="00DD1BC3" w:rsidP="00C6592E">
      <w:pPr>
        <w:spacing w:after="0" w:line="480" w:lineRule="auto"/>
        <w:ind w:firstLine="720"/>
      </w:pPr>
      <w:r>
        <w:t xml:space="preserve">In looking at the predictors themselves within this </w:t>
      </w:r>
      <w:r w:rsidR="00A64743">
        <w:t xml:space="preserve">second </w:t>
      </w:r>
      <w:r>
        <w:t>model of relationship, the same factors</w:t>
      </w:r>
      <w:r w:rsidR="00573277">
        <w:t xml:space="preserve"> (offices, partners and employees)</w:t>
      </w:r>
      <w:r>
        <w:t xml:space="preserve"> continue to remain </w:t>
      </w:r>
      <w:r w:rsidR="00BA6CC3">
        <w:t xml:space="preserve">probable significant predictors, each of which having a probability of incorrectly </w:t>
      </w:r>
      <w:r w:rsidR="00A64743">
        <w:t xml:space="preserve">suggesting there is a relationship between the predictor </w:t>
      </w:r>
      <w:r w:rsidR="008646FA">
        <w:t xml:space="preserve">and </w:t>
      </w:r>
      <w:r w:rsidR="008646FA">
        <w:lastRenderedPageBreak/>
        <w:t xml:space="preserve">net revenue when in reality there isn’t of less than </w:t>
      </w:r>
      <w:r w:rsidR="00573277">
        <w:t xml:space="preserve">.04%. </w:t>
      </w:r>
      <w:r w:rsidR="009B68C3">
        <w:t xml:space="preserve">Conversely, when </w:t>
      </w:r>
      <w:r w:rsidR="00F07E3A">
        <w:t>considering the</w:t>
      </w:r>
      <w:r w:rsidR="006D702A">
        <w:t xml:space="preserve"> potential </w:t>
      </w:r>
      <w:r w:rsidR="007B205C">
        <w:t>e</w:t>
      </w:r>
      <w:r w:rsidR="006D702A">
        <w:t xml:space="preserve">ffect a firm’s region </w:t>
      </w:r>
      <w:r w:rsidR="00260672">
        <w:t>has on their net revenue, given the presence of the other factor</w:t>
      </w:r>
      <w:r w:rsidR="00F07E3A">
        <w:t>s</w:t>
      </w:r>
      <w:r w:rsidR="00260672">
        <w:t xml:space="preserve">, </w:t>
      </w:r>
      <w:r w:rsidR="00BA2C68">
        <w:t xml:space="preserve">the probability of </w:t>
      </w:r>
      <w:r w:rsidR="00F07E3A">
        <w:t>being a significant predictor</w:t>
      </w:r>
      <w:r w:rsidR="00BA2C68">
        <w:t xml:space="preserve"> actually worsens. In this model, i</w:t>
      </w:r>
      <w:r w:rsidR="000D7DAE">
        <w:t xml:space="preserve">t was found </w:t>
      </w:r>
      <w:r w:rsidR="00BA2C68">
        <w:t xml:space="preserve">that there is a </w:t>
      </w:r>
      <w:r w:rsidR="00626D19">
        <w:t xml:space="preserve">43.9% </w:t>
      </w:r>
      <w:r w:rsidR="00EA031B">
        <w:t>probability</w:t>
      </w:r>
      <w:r w:rsidR="00626D19">
        <w:t xml:space="preserve"> that the results would be seen given that there is no relationship between region and net revenue, holding all else equal. </w:t>
      </w:r>
      <w:r w:rsidR="00A44583">
        <w:t xml:space="preserve">This probability is nearly double that of the previous </w:t>
      </w:r>
      <w:r w:rsidR="001428DE">
        <w:t>model and</w:t>
      </w:r>
      <w:r w:rsidR="001F7B77">
        <w:t xml:space="preserve"> would in itself suggest that region does not play much of a role in the net revenue of a firm. </w:t>
      </w:r>
      <w:r w:rsidR="001428DE">
        <w:t xml:space="preserve">Of final note, due to the construction of this secondary model and the same </w:t>
      </w:r>
      <w:r w:rsidR="00801400">
        <w:t xml:space="preserve">plaguing aspects of the first model </w:t>
      </w:r>
      <w:r w:rsidR="00D401A2">
        <w:t xml:space="preserve">still </w:t>
      </w:r>
      <w:r w:rsidR="00801400">
        <w:t xml:space="preserve">being present, none of the predictor values can be interpreted </w:t>
      </w:r>
      <w:r w:rsidR="00AC6391">
        <w:t>as</w:t>
      </w:r>
      <w:r w:rsidR="00170F73">
        <w:t xml:space="preserve"> to how</w:t>
      </w:r>
      <w:r w:rsidR="00AC6391">
        <w:t xml:space="preserve"> they relate to net revenue. Again, more analysis would be needed to </w:t>
      </w:r>
      <w:r w:rsidR="004E6F76">
        <w:t>provide an interpretation of the pr</w:t>
      </w:r>
      <w:r w:rsidR="00287227">
        <w:t>edictor</w:t>
      </w:r>
      <w:r w:rsidR="004E6F76">
        <w:t xml:space="preserve"> values themselves. </w:t>
      </w:r>
    </w:p>
    <w:p w14:paraId="3737ACC1" w14:textId="51476191" w:rsidR="00087603" w:rsidRDefault="00087603" w:rsidP="00087603">
      <w:pPr>
        <w:spacing w:after="0" w:line="240" w:lineRule="auto"/>
        <w:rPr>
          <w:b/>
          <w:bCs/>
          <w:sz w:val="28"/>
          <w:szCs w:val="28"/>
        </w:rPr>
      </w:pPr>
      <w:r>
        <w:rPr>
          <w:b/>
          <w:bCs/>
          <w:sz w:val="28"/>
          <w:szCs w:val="28"/>
        </w:rPr>
        <w:t>Conclusion:</w:t>
      </w:r>
    </w:p>
    <w:p w14:paraId="36273F1E" w14:textId="52C9A92F" w:rsidR="00087603" w:rsidRDefault="00087603" w:rsidP="00087603">
      <w:pPr>
        <w:spacing w:after="0" w:line="240" w:lineRule="auto"/>
      </w:pPr>
    </w:p>
    <w:p w14:paraId="1D6C5814" w14:textId="39B70113" w:rsidR="00BF09DB" w:rsidRDefault="00B54AC5" w:rsidP="004E43FC">
      <w:pPr>
        <w:spacing w:after="0" w:line="480" w:lineRule="auto"/>
        <w:ind w:firstLine="720"/>
      </w:pPr>
      <w:r>
        <w:t xml:space="preserve">The </w:t>
      </w:r>
      <w:r w:rsidR="00F77186">
        <w:t xml:space="preserve">core </w:t>
      </w:r>
      <w:r>
        <w:t xml:space="preserve">goal of this report was to </w:t>
      </w:r>
      <w:r w:rsidR="002E50FD">
        <w:t xml:space="preserve">understand the </w:t>
      </w:r>
      <w:r w:rsidR="006F31B3">
        <w:t xml:space="preserve">previously undocumented </w:t>
      </w:r>
      <w:r w:rsidR="002E50FD">
        <w:t xml:space="preserve">relationships certain </w:t>
      </w:r>
      <w:r w:rsidR="004B555A">
        <w:t>factors have on</w:t>
      </w:r>
      <w:r w:rsidR="002E50FD">
        <w:t xml:space="preserve"> an accounting firm’s net revenue</w:t>
      </w:r>
      <w:r w:rsidR="006F31B3">
        <w:t>. In order to furnish this understanding</w:t>
      </w:r>
      <w:r w:rsidR="004E43FC">
        <w:t xml:space="preserve">, each of the following questions were explored: </w:t>
      </w:r>
      <w:r w:rsidR="00E85DB0">
        <w:t xml:space="preserve">“How do </w:t>
      </w:r>
      <w:r w:rsidR="0009153D">
        <w:t>certain</w:t>
      </w:r>
      <w:r w:rsidR="00E85DB0">
        <w:t xml:space="preserve"> </w:t>
      </w:r>
      <w:r w:rsidR="00322B72">
        <w:t>aspects</w:t>
      </w:r>
      <w:r w:rsidR="00E85DB0">
        <w:t xml:space="preserve"> </w:t>
      </w:r>
      <w:r w:rsidR="0009153D">
        <w:t xml:space="preserve">of an accounting firm individually </w:t>
      </w:r>
      <w:r w:rsidR="00E85DB0">
        <w:t>relate to a firm’s net revenue?”, “</w:t>
      </w:r>
      <w:r w:rsidR="00A24061">
        <w:t>When looked at holistically, how do all of the factors together relate to a firm’s net revenue</w:t>
      </w:r>
      <w:r w:rsidR="00E85DB0">
        <w:t>?”</w:t>
      </w:r>
      <w:r w:rsidR="00B906A7">
        <w:t xml:space="preserve"> </w:t>
      </w:r>
      <w:r w:rsidR="00E85DB0">
        <w:t xml:space="preserve">and “Are there any core differences between firms in different regions of the </w:t>
      </w:r>
      <w:r w:rsidR="00406DC2">
        <w:t>United States</w:t>
      </w:r>
      <w:r w:rsidR="00E85DB0">
        <w:t>?”</w:t>
      </w:r>
      <w:r w:rsidR="00ED179D">
        <w:t>.</w:t>
      </w:r>
      <w:r w:rsidR="00C44549">
        <w:t xml:space="preserve"> </w:t>
      </w:r>
      <w:r w:rsidR="006A53F0">
        <w:t>Answers to all of these questions are highlighted below and when considered in aggregate</w:t>
      </w:r>
      <w:r w:rsidR="002E50FD">
        <w:t xml:space="preserve"> </w:t>
      </w:r>
      <w:r w:rsidR="00386F4A">
        <w:t>aid in solving the important problem of not understanding what is driving differences in net revenue amongst accounting firms</w:t>
      </w:r>
      <w:r w:rsidR="006A53F0">
        <w:t xml:space="preserve">. </w:t>
      </w:r>
    </w:p>
    <w:p w14:paraId="22842E55" w14:textId="696B1C47" w:rsidR="00003F3A" w:rsidRPr="00767A46" w:rsidRDefault="005B03E1" w:rsidP="00336341">
      <w:pPr>
        <w:spacing w:after="0" w:line="480" w:lineRule="auto"/>
        <w:ind w:firstLine="720"/>
      </w:pPr>
      <w:r>
        <w:t xml:space="preserve">With regards to </w:t>
      </w:r>
      <w:r w:rsidR="0043011E">
        <w:t xml:space="preserve">if and </w:t>
      </w:r>
      <w:r>
        <w:t xml:space="preserve">how the analyzed factors relate individually to </w:t>
      </w:r>
      <w:r w:rsidR="00887B9E">
        <w:t>an accounting firm’s revenue</w:t>
      </w:r>
      <w:r w:rsidR="00080E92">
        <w:t xml:space="preserve">, </w:t>
      </w:r>
      <w:r w:rsidR="00F2162E">
        <w:t>probable relationships for each were found.</w:t>
      </w:r>
      <w:r w:rsidR="001D5829">
        <w:t xml:space="preserve"> Of key importance is that the relationships themselves were found</w:t>
      </w:r>
      <w:r w:rsidR="004E445A">
        <w:t xml:space="preserve"> to exist. Each of the factors (offices, </w:t>
      </w:r>
      <w:r w:rsidR="00336341">
        <w:t>partners,</w:t>
      </w:r>
      <w:r w:rsidR="004E445A">
        <w:t xml:space="preserve"> and employees) can all be considered to be related to net revenue, each with varying degrees of certainty. </w:t>
      </w:r>
      <w:r w:rsidR="00C03B66">
        <w:t xml:space="preserve">In using the </w:t>
      </w:r>
      <w:r w:rsidR="004B6F3D">
        <w:rPr>
          <w:i/>
          <w:iCs/>
        </w:rPr>
        <w:t>Accounting Today</w:t>
      </w:r>
      <w:r w:rsidR="004B6F3D">
        <w:t xml:space="preserve"> data</w:t>
      </w:r>
      <w:r w:rsidR="00C03B66">
        <w:t xml:space="preserve"> to make inference about the </w:t>
      </w:r>
      <w:r w:rsidR="00F15C7B">
        <w:t xml:space="preserve">scale of the </w:t>
      </w:r>
      <w:r w:rsidR="00C03B66">
        <w:t>relationships as they exist in the real-world</w:t>
      </w:r>
      <w:r w:rsidR="00B80443">
        <w:t xml:space="preserve">, </w:t>
      </w:r>
      <w:r w:rsidR="00732E08">
        <w:t>this report evidenced the pote</w:t>
      </w:r>
      <w:r w:rsidR="00ED3F9D">
        <w:t xml:space="preserve">ntial relationships through confidence intervals. The intervals themselves are </w:t>
      </w:r>
      <w:r w:rsidR="00ED3F9D">
        <w:lastRenderedPageBreak/>
        <w:t>as follows</w:t>
      </w:r>
      <w:r w:rsidR="004D5479">
        <w:t xml:space="preserve"> and can be </w:t>
      </w:r>
      <w:r w:rsidR="00BC7A7A">
        <w:t xml:space="preserve">interpreted as intervals for which we are </w:t>
      </w:r>
      <w:r w:rsidR="00163CF0">
        <w:t xml:space="preserve">95% confident contain the actual relationships each factor has </w:t>
      </w:r>
      <w:r w:rsidR="00D747B2">
        <w:t>with net revenue when considered individually</w:t>
      </w:r>
      <w:r w:rsidR="00163CF0">
        <w:t>.</w:t>
      </w:r>
      <w:r w:rsidR="00880B1E">
        <w:t xml:space="preserve"> An important aside, the analysis within this report does not provide evidence that these </w:t>
      </w:r>
      <w:r w:rsidR="00767A46">
        <w:t xml:space="preserve">individual factors are </w:t>
      </w:r>
      <w:r w:rsidR="00767A46">
        <w:rPr>
          <w:i/>
          <w:iCs/>
        </w:rPr>
        <w:t>causing</w:t>
      </w:r>
      <w:r w:rsidR="00767A46">
        <w:t xml:space="preserve"> changes in net revenue, but only that they are related to net revenue. To evidence causation more analysis would be needed. </w:t>
      </w:r>
    </w:p>
    <w:p w14:paraId="372644F0" w14:textId="272E7E7E" w:rsidR="00163CF0" w:rsidRDefault="00163CF0" w:rsidP="00163CF0">
      <w:pPr>
        <w:pStyle w:val="ListParagraph"/>
        <w:numPr>
          <w:ilvl w:val="0"/>
          <w:numId w:val="7"/>
        </w:numPr>
        <w:spacing w:after="0" w:line="480" w:lineRule="auto"/>
      </w:pPr>
      <w:r>
        <w:t xml:space="preserve">Number of Offices: </w:t>
      </w:r>
      <w:r w:rsidR="00AE4A7E">
        <w:t xml:space="preserve">interval range from a </w:t>
      </w:r>
      <w:r w:rsidR="00F4789E">
        <w:t>$.30</w:t>
      </w:r>
      <w:r w:rsidR="00750FD6">
        <w:t xml:space="preserve"> (million) decrease in net revenue for each additional office </w:t>
      </w:r>
      <w:r w:rsidR="00AE4A7E">
        <w:t>to a $2.98 (million) increase in net revenue for each additional office.</w:t>
      </w:r>
    </w:p>
    <w:p w14:paraId="3E2CFD44" w14:textId="7ED0566B" w:rsidR="00AE4A7E" w:rsidRDefault="00AE4A7E" w:rsidP="00AE4A7E">
      <w:pPr>
        <w:pStyle w:val="ListParagraph"/>
        <w:numPr>
          <w:ilvl w:val="0"/>
          <w:numId w:val="7"/>
        </w:numPr>
        <w:spacing w:after="0" w:line="480" w:lineRule="auto"/>
      </w:pPr>
      <w:r>
        <w:t xml:space="preserve">Number of Partners: interval range from a $1.11 (million) </w:t>
      </w:r>
      <w:r w:rsidR="00AB4E12">
        <w:t>increase</w:t>
      </w:r>
      <w:r>
        <w:t xml:space="preserve"> in net revenue for each additional partner to a $1.55 (million) increase in net revenue for each additional partner.</w:t>
      </w:r>
    </w:p>
    <w:p w14:paraId="6E371770" w14:textId="597ECE01" w:rsidR="00AE4A7E" w:rsidRDefault="00AE4A7E" w:rsidP="00AE4A7E">
      <w:pPr>
        <w:pStyle w:val="ListParagraph"/>
        <w:numPr>
          <w:ilvl w:val="0"/>
          <w:numId w:val="7"/>
        </w:numPr>
        <w:spacing w:after="0" w:line="480" w:lineRule="auto"/>
      </w:pPr>
      <w:r>
        <w:t xml:space="preserve">Number of Employees: interval range from a $.16 (million) </w:t>
      </w:r>
      <w:r w:rsidR="00AB4E12">
        <w:t>increase</w:t>
      </w:r>
      <w:r>
        <w:t xml:space="preserve"> in net revenue for each additional employee to a $.19 (million) increase in net revenue for each additional employee.</w:t>
      </w:r>
    </w:p>
    <w:p w14:paraId="3EE0DE43" w14:textId="62C8D5CA" w:rsidR="00003F3A" w:rsidRDefault="00B147A3" w:rsidP="001D1287">
      <w:pPr>
        <w:spacing w:after="0" w:line="480" w:lineRule="auto"/>
      </w:pPr>
      <w:r>
        <w:t>Of additional importance is th</w:t>
      </w:r>
      <w:r w:rsidR="00947A62">
        <w:t>at the</w:t>
      </w:r>
      <w:r>
        <w:t xml:space="preserve"> relationship the number of offices has </w:t>
      </w:r>
      <w:r w:rsidR="00947A62">
        <w:t xml:space="preserve">with net revenue was found to </w:t>
      </w:r>
      <w:r w:rsidR="00023EE0" w:rsidRPr="00A810E8">
        <w:rPr>
          <w:i/>
          <w:iCs/>
        </w:rPr>
        <w:t>potentially</w:t>
      </w:r>
      <w:r w:rsidR="00023EE0">
        <w:t xml:space="preserve"> be concave, meaning that </w:t>
      </w:r>
      <w:r w:rsidR="001C4F37">
        <w:t xml:space="preserve">intermediate firms within the context of their number of offices would be expected to have </w:t>
      </w:r>
      <w:r w:rsidR="004316D6">
        <w:t>larger</w:t>
      </w:r>
      <w:r w:rsidR="001C4F37">
        <w:t xml:space="preserve"> net revenues than those with greater or lesser number of offices.</w:t>
      </w:r>
      <w:r w:rsidR="00594A21">
        <w:t xml:space="preserve"> This relationship is evidenced through a probability </w:t>
      </w:r>
      <w:r w:rsidR="00A810E8">
        <w:t>of 11.6</w:t>
      </w:r>
      <w:r w:rsidR="00E01807">
        <w:t>5</w:t>
      </w:r>
      <w:r w:rsidR="00A810E8">
        <w:t xml:space="preserve">% of obtaining the results seen within the data if no such concave relationship exists, suggesting </w:t>
      </w:r>
      <w:r w:rsidR="001D1287">
        <w:t xml:space="preserve">but not implying that the theorized concave </w:t>
      </w:r>
      <w:r w:rsidR="004B1C24">
        <w:t>relationship could</w:t>
      </w:r>
      <w:r w:rsidR="0090499B">
        <w:t xml:space="preserve"> in fact</w:t>
      </w:r>
      <w:r w:rsidR="001D1287">
        <w:t xml:space="preserve"> exist.</w:t>
      </w:r>
    </w:p>
    <w:p w14:paraId="6850F119" w14:textId="11549207" w:rsidR="00AC7182" w:rsidRDefault="00AE2F63" w:rsidP="00AC7182">
      <w:pPr>
        <w:spacing w:after="0" w:line="480" w:lineRule="auto"/>
        <w:ind w:firstLine="720"/>
      </w:pPr>
      <w:r>
        <w:t xml:space="preserve">Furthermore, in reviewing the analysis it can be found that each of the </w:t>
      </w:r>
      <w:r w:rsidR="00370FE1">
        <w:t xml:space="preserve">previously mentioned </w:t>
      </w:r>
      <w:r>
        <w:t>factors</w:t>
      </w:r>
      <w:r w:rsidR="00413B4B">
        <w:t xml:space="preserve">, in addition to a factor </w:t>
      </w:r>
      <w:r w:rsidR="00370FE1">
        <w:t>that accounts for a</w:t>
      </w:r>
      <w:r w:rsidR="00413B4B">
        <w:t xml:space="preserve"> firm’s region</w:t>
      </w:r>
      <w:r w:rsidR="00370FE1">
        <w:t xml:space="preserve"> of operation</w:t>
      </w:r>
      <w:r w:rsidR="00413B4B">
        <w:t>,</w:t>
      </w:r>
      <w:r>
        <w:t xml:space="preserve"> when combined </w:t>
      </w:r>
      <w:r w:rsidR="0075760F">
        <w:t>into a singular model robustly capture</w:t>
      </w:r>
      <w:r>
        <w:t xml:space="preserve"> </w:t>
      </w:r>
      <w:r w:rsidR="00BE4D1E">
        <w:t>a relationship</w:t>
      </w:r>
      <w:r w:rsidR="007E17CF">
        <w:t xml:space="preserve"> </w:t>
      </w:r>
      <w:r w:rsidR="00BD3793">
        <w:t>with net revenue</w:t>
      </w:r>
      <w:r w:rsidR="001D1287">
        <w:t xml:space="preserve">. When considering a model that does not take the potential concave relationship between offices and net revenue into account, it was found that 94.07% of all variability in </w:t>
      </w:r>
      <w:r w:rsidR="009B00C9">
        <w:t xml:space="preserve">the </w:t>
      </w:r>
      <w:r w:rsidR="001D1287">
        <w:t>net revenue for a firm can be accounted for</w:t>
      </w:r>
      <w:r w:rsidR="00D8369A">
        <w:t xml:space="preserve"> with the described </w:t>
      </w:r>
      <w:r w:rsidR="00D8369A">
        <w:lastRenderedPageBreak/>
        <w:t xml:space="preserve">factors. </w:t>
      </w:r>
      <w:r w:rsidR="00E175AC">
        <w:t xml:space="preserve">Expanding the analysis, when a considering a model that </w:t>
      </w:r>
      <w:r w:rsidR="00E175AC">
        <w:rPr>
          <w:i/>
          <w:iCs/>
        </w:rPr>
        <w:t>does</w:t>
      </w:r>
      <w:r w:rsidR="00E175AC">
        <w:t xml:space="preserve"> </w:t>
      </w:r>
      <w:r w:rsidR="002005B5">
        <w:t>consider</w:t>
      </w:r>
      <w:r w:rsidR="00E175AC">
        <w:t xml:space="preserve"> the potential concave relationship, 95.47% of all variability </w:t>
      </w:r>
      <w:r w:rsidR="002005B5">
        <w:t xml:space="preserve">can be accounted for. The </w:t>
      </w:r>
      <w:r w:rsidR="00F8211B">
        <w:t>key takeaway from these results is that the f</w:t>
      </w:r>
      <w:r w:rsidR="00413B4B">
        <w:t>actors of offices, partners,</w:t>
      </w:r>
      <w:r w:rsidR="00D85959">
        <w:t xml:space="preserve"> and</w:t>
      </w:r>
      <w:r w:rsidR="00413B4B">
        <w:t xml:space="preserve"> </w:t>
      </w:r>
      <w:r w:rsidR="00534BBB">
        <w:t xml:space="preserve">employees combined </w:t>
      </w:r>
      <w:r w:rsidR="00416A5C">
        <w:t>create a</w:t>
      </w:r>
      <w:r w:rsidR="00534BBB">
        <w:t xml:space="preserve"> </w:t>
      </w:r>
      <w:r w:rsidR="00D85959">
        <w:t>good predict</w:t>
      </w:r>
      <w:r w:rsidR="00416A5C">
        <w:t>ion model for</w:t>
      </w:r>
      <w:r w:rsidR="00D85959">
        <w:t xml:space="preserve"> the net revenue for a firm, and </w:t>
      </w:r>
      <w:r w:rsidR="00416A5C">
        <w:t xml:space="preserve">additionally that </w:t>
      </w:r>
      <w:r w:rsidR="00D85959">
        <w:t>each have a relationship</w:t>
      </w:r>
      <w:r w:rsidR="00416A5C">
        <w:t xml:space="preserve"> themselves </w:t>
      </w:r>
      <w:r w:rsidR="00E24942">
        <w:t xml:space="preserve">above and beyond </w:t>
      </w:r>
      <w:r w:rsidR="00880B1E">
        <w:t>that of the other factors</w:t>
      </w:r>
      <w:r w:rsidR="004F4B98">
        <w:t xml:space="preserve">. </w:t>
      </w:r>
    </w:p>
    <w:p w14:paraId="35F8EB0C" w14:textId="307D42D5" w:rsidR="00F518EA" w:rsidRDefault="00AC7182" w:rsidP="00F45B5B">
      <w:pPr>
        <w:spacing w:after="0" w:line="480" w:lineRule="auto"/>
        <w:ind w:firstLine="720"/>
      </w:pPr>
      <w:r>
        <w:t>Of final note</w:t>
      </w:r>
      <w:r w:rsidR="0075760F">
        <w:t xml:space="preserve">, the analysis does not suggest that </w:t>
      </w:r>
      <w:r w:rsidR="00234E04">
        <w:t>accounting firms</w:t>
      </w:r>
      <w:r w:rsidR="00254E56">
        <w:t xml:space="preserve"> differ substantially across different regions of the United Sates, </w:t>
      </w:r>
      <w:r w:rsidR="00972918">
        <w:t xml:space="preserve">based upon the categories </w:t>
      </w:r>
      <w:r w:rsidR="004E5E0E">
        <w:t>provided in the data</w:t>
      </w:r>
      <w:r w:rsidR="00972918">
        <w:t>.</w:t>
      </w:r>
      <w:r w:rsidR="00FF7263">
        <w:t xml:space="preserve"> Within the aggregate model</w:t>
      </w:r>
      <w:r w:rsidR="0094175A">
        <w:t xml:space="preserve"> </w:t>
      </w:r>
      <w:r w:rsidR="008A367A">
        <w:t xml:space="preserve">that does not contain </w:t>
      </w:r>
      <w:r w:rsidR="0094175A">
        <w:t xml:space="preserve">the concave relationship, there was found to be a 19.24% </w:t>
      </w:r>
      <w:r w:rsidR="007D7BB3">
        <w:t>probability</w:t>
      </w:r>
      <w:r w:rsidR="0094175A">
        <w:t xml:space="preserve"> the results would have been seen given that region does not </w:t>
      </w:r>
      <w:r w:rsidR="00424C1D">
        <w:t>relate to</w:t>
      </w:r>
      <w:r w:rsidR="0094175A">
        <w:t xml:space="preserve"> net revenue, above and beyond the influence of the other factors. In the aggregate model that does consider the concave relationship, this percentage actually worsens and was found to be</w:t>
      </w:r>
      <w:r w:rsidR="004F5A9F">
        <w:t xml:space="preserve"> a 43.9% </w:t>
      </w:r>
      <w:r w:rsidR="007D7BB3">
        <w:t>probability</w:t>
      </w:r>
      <w:r w:rsidR="00C92A9A">
        <w:t xml:space="preserve"> of the same phenomenon</w:t>
      </w:r>
      <w:r w:rsidR="004F5A9F">
        <w:t xml:space="preserve">. </w:t>
      </w:r>
      <w:r w:rsidR="00C92A9A">
        <w:t>Additionally, in simply looking at the graph</w:t>
      </w:r>
      <w:r w:rsidR="009A5A20">
        <w:t>s</w:t>
      </w:r>
      <w:r w:rsidR="00C92A9A">
        <w:t xml:space="preserve"> of the data itself it is clear that there is no significant difference among</w:t>
      </w:r>
      <w:r w:rsidR="00261AE0">
        <w:t>st</w:t>
      </w:r>
      <w:r w:rsidR="00C92A9A">
        <w:t xml:space="preserve"> the regions. For each of the factors, the </w:t>
      </w:r>
      <w:r w:rsidR="00127879">
        <w:t>recorded aspects of the firms</w:t>
      </w:r>
      <w:r w:rsidR="00431861">
        <w:t xml:space="preserve"> are relatively equally distributed, regardless of region. </w:t>
      </w:r>
    </w:p>
    <w:p w14:paraId="12C21667" w14:textId="7DB747C4" w:rsidR="00087603" w:rsidRDefault="00087603" w:rsidP="00087603">
      <w:pPr>
        <w:spacing w:after="0" w:line="240" w:lineRule="auto"/>
        <w:rPr>
          <w:b/>
          <w:bCs/>
          <w:sz w:val="28"/>
          <w:szCs w:val="28"/>
        </w:rPr>
      </w:pPr>
      <w:r>
        <w:rPr>
          <w:b/>
          <w:bCs/>
          <w:sz w:val="28"/>
          <w:szCs w:val="28"/>
        </w:rPr>
        <w:t>Appendix:</w:t>
      </w:r>
    </w:p>
    <w:p w14:paraId="362CFE44" w14:textId="77777777" w:rsidR="00091F9C" w:rsidRDefault="00091F9C"/>
    <w:p w14:paraId="30DB89BA" w14:textId="144C371A" w:rsidR="0003331C" w:rsidRDefault="0003331C" w:rsidP="0003331C">
      <w:pPr>
        <w:spacing w:after="0" w:line="480" w:lineRule="auto"/>
        <w:ind w:firstLine="720"/>
      </w:pPr>
      <w:r>
        <w:t>In order to perform the analysis within this report key assumptions had to be made about the data</w:t>
      </w:r>
      <w:r w:rsidR="001B5A17">
        <w:t xml:space="preserve"> and </w:t>
      </w:r>
      <w:r w:rsidR="00DF7FFE">
        <w:t>models</w:t>
      </w:r>
      <w:r>
        <w:t>, namely “stability over time”, “random sampling” and “</w:t>
      </w:r>
      <w:r w:rsidR="006B1BB9">
        <w:t>st</w:t>
      </w:r>
      <w:r w:rsidR="00FC1ADC">
        <w:t>andard error terms (epsilons)</w:t>
      </w:r>
      <w:r w:rsidR="007C6DD4">
        <w:t xml:space="preserve"> that are</w:t>
      </w:r>
      <w:r w:rsidR="00FC1ADC">
        <w:t xml:space="preserve"> normally distributed </w:t>
      </w:r>
      <w:r w:rsidR="00596A5F">
        <w:t>with a mean of 0 and constant standard deviation”</w:t>
      </w:r>
      <w:r>
        <w:t xml:space="preserve">. </w:t>
      </w:r>
      <w:r w:rsidR="00596A5F">
        <w:t xml:space="preserve">Evaluation of each of these key assumptions can be </w:t>
      </w:r>
      <w:r w:rsidR="007C6DD4">
        <w:t>found</w:t>
      </w:r>
      <w:r w:rsidR="00596A5F">
        <w:t xml:space="preserve"> below. </w:t>
      </w:r>
    </w:p>
    <w:p w14:paraId="05009D7C" w14:textId="7D7C8FDD" w:rsidR="00052E09" w:rsidRDefault="002C361E" w:rsidP="00F52BD9">
      <w:pPr>
        <w:spacing w:after="0" w:line="480" w:lineRule="auto"/>
        <w:ind w:firstLine="720"/>
      </w:pPr>
      <w:r>
        <w:t xml:space="preserve">With regards to stability over time, no issues are </w:t>
      </w:r>
      <w:r w:rsidR="00BC238B">
        <w:t>suggested</w:t>
      </w:r>
      <w:r>
        <w:t xml:space="preserve"> </w:t>
      </w:r>
      <w:r w:rsidR="009173E6">
        <w:t xml:space="preserve">by the data. </w:t>
      </w:r>
      <w:r w:rsidR="002C2A27">
        <w:t>Although it would be fair to assume</w:t>
      </w:r>
      <w:r w:rsidR="007E6641">
        <w:t xml:space="preserve"> that net revenues would trend upwards over</w:t>
      </w:r>
      <w:r w:rsidR="004A7F3C">
        <w:t xml:space="preserve"> a long period of</w:t>
      </w:r>
      <w:r w:rsidR="007E6641">
        <w:t xml:space="preserve"> time due to inflation </w:t>
      </w:r>
      <w:r w:rsidR="004A7F3C">
        <w:t xml:space="preserve">and other </w:t>
      </w:r>
      <w:r w:rsidR="00B95E2B">
        <w:t xml:space="preserve">influencing </w:t>
      </w:r>
      <w:r w:rsidR="004A7F3C">
        <w:t>factors</w:t>
      </w:r>
      <w:r w:rsidR="007E6641">
        <w:t>, the</w:t>
      </w:r>
      <w:r w:rsidR="00913F3F">
        <w:t xml:space="preserve"> concern of this report is </w:t>
      </w:r>
      <w:r w:rsidR="00E83E54">
        <w:t>focused on</w:t>
      </w:r>
      <w:r w:rsidR="006C3351">
        <w:t xml:space="preserve"> the near term, and for that </w:t>
      </w:r>
      <w:r w:rsidR="00F90ECC">
        <w:t xml:space="preserve">scope </w:t>
      </w:r>
      <w:r w:rsidR="00E83E54">
        <w:t xml:space="preserve">the process is likely to be stable. </w:t>
      </w:r>
      <w:r w:rsidR="001C167B">
        <w:t xml:space="preserve"> </w:t>
      </w:r>
      <w:r w:rsidR="004048AA">
        <w:t xml:space="preserve">Furthermore, it is logical to assume that the number of offices, </w:t>
      </w:r>
      <w:r w:rsidR="00BD3906">
        <w:t>partners,</w:t>
      </w:r>
      <w:r w:rsidR="004048AA">
        <w:t xml:space="preserve"> and employees </w:t>
      </w:r>
      <w:r w:rsidR="000D41A5">
        <w:t>a</w:t>
      </w:r>
      <w:r w:rsidR="00C95808">
        <w:t>n established</w:t>
      </w:r>
      <w:r w:rsidR="000D41A5">
        <w:t xml:space="preserve"> firm has </w:t>
      </w:r>
      <w:r w:rsidR="004048AA">
        <w:t xml:space="preserve">would not </w:t>
      </w:r>
      <w:r w:rsidR="00001DB3">
        <w:t xml:space="preserve">fluctuate greatly within any given point of </w:t>
      </w:r>
      <w:r w:rsidR="002A5AA7">
        <w:t>a</w:t>
      </w:r>
      <w:r w:rsidR="00001DB3">
        <w:t xml:space="preserve"> year</w:t>
      </w:r>
      <w:r w:rsidR="00BD3906">
        <w:t>.</w:t>
      </w:r>
      <w:r w:rsidR="00001DB3">
        <w:t xml:space="preserve"> </w:t>
      </w:r>
      <w:r w:rsidR="00CC6FB5">
        <w:t xml:space="preserve">As a </w:t>
      </w:r>
      <w:r w:rsidR="00CC6FB5">
        <w:lastRenderedPageBreak/>
        <w:t>result</w:t>
      </w:r>
      <w:r w:rsidR="00BD3906">
        <w:t>,</w:t>
      </w:r>
      <w:r w:rsidR="00001DB3">
        <w:t xml:space="preserve"> the fact that this data was likely (not stated but implied by the </w:t>
      </w:r>
      <w:r w:rsidR="002C3752" w:rsidRPr="002C3752">
        <w:rPr>
          <w:i/>
          <w:iCs/>
        </w:rPr>
        <w:t>aggregate</w:t>
      </w:r>
      <w:r w:rsidR="00001DB3">
        <w:t xml:space="preserve"> net revenue figures)</w:t>
      </w:r>
      <w:r w:rsidR="000D41A5">
        <w:t xml:space="preserve"> collected at a singular point </w:t>
      </w:r>
      <w:r w:rsidR="002C3752">
        <w:t xml:space="preserve">at or near year-end does not in itself present an issue.  </w:t>
      </w:r>
    </w:p>
    <w:p w14:paraId="445F7841" w14:textId="65C8B4F4" w:rsidR="003120E4" w:rsidRDefault="00C90742" w:rsidP="0003331C">
      <w:pPr>
        <w:spacing w:after="0" w:line="480" w:lineRule="auto"/>
        <w:ind w:firstLine="720"/>
      </w:pPr>
      <w:r>
        <w:t xml:space="preserve">Although the first assumption does not raise much concern, </w:t>
      </w:r>
      <w:r w:rsidR="008618E0">
        <w:t>a</w:t>
      </w:r>
      <w:r w:rsidR="00C73098">
        <w:t xml:space="preserve"> minor</w:t>
      </w:r>
      <w:r w:rsidR="008618E0">
        <w:t xml:space="preserve"> </w:t>
      </w:r>
      <w:r w:rsidR="00C73098">
        <w:t>caveat</w:t>
      </w:r>
      <w:r w:rsidR="008618E0">
        <w:t xml:space="preserve"> should be noted </w:t>
      </w:r>
      <w:r w:rsidR="00E47159">
        <w:t xml:space="preserve">about the </w:t>
      </w:r>
      <w:r w:rsidR="00082E2A">
        <w:t>random sampling assumption</w:t>
      </w:r>
      <w:r w:rsidR="00E47159">
        <w:t xml:space="preserve">. The data used for this report is from </w:t>
      </w:r>
      <w:r w:rsidR="00E47159">
        <w:rPr>
          <w:i/>
          <w:iCs/>
        </w:rPr>
        <w:t>top</w:t>
      </w:r>
      <w:r w:rsidR="00E47159">
        <w:t xml:space="preserve"> accounting firms across the United States, rather th</w:t>
      </w:r>
      <w:r w:rsidR="00EA4647">
        <w:t>an</w:t>
      </w:r>
      <w:r w:rsidR="00E47159">
        <w:t xml:space="preserve"> </w:t>
      </w:r>
      <w:r w:rsidR="008352FE">
        <w:t xml:space="preserve">from </w:t>
      </w:r>
      <w:r w:rsidR="00EA4647">
        <w:t xml:space="preserve">a </w:t>
      </w:r>
      <w:r w:rsidR="00E47159">
        <w:t xml:space="preserve">random sample of all </w:t>
      </w:r>
      <w:r w:rsidR="00A90BE1">
        <w:t xml:space="preserve">levels of accounting firms. If the scope of the </w:t>
      </w:r>
      <w:r w:rsidR="0019263E">
        <w:t xml:space="preserve">inference is purely how the factors influence </w:t>
      </w:r>
      <w:r w:rsidR="0019263E">
        <w:rPr>
          <w:i/>
          <w:iCs/>
        </w:rPr>
        <w:t>top</w:t>
      </w:r>
      <w:r w:rsidR="0019263E">
        <w:t xml:space="preserve"> accounting firms th</w:t>
      </w:r>
      <w:r w:rsidR="00357E69">
        <w:t>e</w:t>
      </w:r>
      <w:r w:rsidR="0019263E">
        <w:t xml:space="preserve">n </w:t>
      </w:r>
      <w:r w:rsidR="00F149E1">
        <w:t>no issue should be raised, but if the scope of concern is with regards to any accounting firm th</w:t>
      </w:r>
      <w:r w:rsidR="00357E69">
        <w:t>e</w:t>
      </w:r>
      <w:r w:rsidR="00F149E1">
        <w:t xml:space="preserve">n this data might not be </w:t>
      </w:r>
      <w:proofErr w:type="spellStart"/>
      <w:r w:rsidR="00CB60B9">
        <w:t>enitrely</w:t>
      </w:r>
      <w:proofErr w:type="spellEnd"/>
      <w:r w:rsidR="00F149E1">
        <w:t xml:space="preserve"> representative of the entire population of firms.</w:t>
      </w:r>
      <w:r w:rsidR="006A7A91">
        <w:t xml:space="preserve"> </w:t>
      </w:r>
      <w:r w:rsidR="005E2271">
        <w:t>However, outside of this nuance the data</w:t>
      </w:r>
      <w:r w:rsidR="001E6C60">
        <w:t xml:space="preserve"> presents no other obviously bias and the assumption of random sampling </w:t>
      </w:r>
      <w:r w:rsidR="00E20419">
        <w:t xml:space="preserve">can be upheld. </w:t>
      </w:r>
    </w:p>
    <w:p w14:paraId="33477273" w14:textId="3989E690" w:rsidR="009A3B46" w:rsidRDefault="00E20419" w:rsidP="00C14C6C">
      <w:pPr>
        <w:spacing w:after="0" w:line="480" w:lineRule="auto"/>
        <w:ind w:firstLine="720"/>
      </w:pPr>
      <w:r>
        <w:t xml:space="preserve">For the final assumption, numerous issues can be found within the data with regards to </w:t>
      </w:r>
      <w:r w:rsidR="00F54DC6">
        <w:t>the specific relationships modeled</w:t>
      </w:r>
      <w:r w:rsidR="00085F67">
        <w:t>.</w:t>
      </w:r>
      <w:r w:rsidR="00EA65E2">
        <w:t xml:space="preserve"> In order to remedy these issues, further analysis would be needed and is outside of the scope of this report.</w:t>
      </w:r>
      <w:r w:rsidR="00085F67">
        <w:t xml:space="preserve"> For the </w:t>
      </w:r>
      <w:r w:rsidR="0078434B">
        <w:t xml:space="preserve">model capturing the </w:t>
      </w:r>
      <w:r w:rsidR="00D7374E">
        <w:t xml:space="preserve">linear </w:t>
      </w:r>
      <w:r w:rsidR="00EE47AD">
        <w:t xml:space="preserve">relationship between </w:t>
      </w:r>
      <w:r w:rsidR="00D7374E">
        <w:t>O</w:t>
      </w:r>
      <w:r w:rsidR="00EE47AD">
        <w:t xml:space="preserve">ffices and </w:t>
      </w:r>
      <w:r w:rsidR="00D7374E">
        <w:t>N</w:t>
      </w:r>
      <w:r w:rsidR="00EE47AD">
        <w:t xml:space="preserve">et </w:t>
      </w:r>
      <w:r w:rsidR="00D7374E">
        <w:t>R</w:t>
      </w:r>
      <w:r w:rsidR="00EE47AD">
        <w:t>evenue, the assumption that the standardized errors</w:t>
      </w:r>
      <w:r w:rsidR="00016766">
        <w:t xml:space="preserve"> of the model</w:t>
      </w:r>
      <w:r w:rsidR="00EE47AD">
        <w:t xml:space="preserve"> are normally distributed is violated. </w:t>
      </w:r>
      <w:r w:rsidR="000B1753">
        <w:t>Similarly, the second</w:t>
      </w:r>
      <w:r w:rsidR="008A7DB7">
        <w:t>-</w:t>
      </w:r>
      <w:r w:rsidR="000B1753">
        <w:t>order model of Offices also falls victim to the same issue. T</w:t>
      </w:r>
      <w:r w:rsidR="00EA65E2">
        <w:t>h</w:t>
      </w:r>
      <w:r w:rsidR="000B1753">
        <w:t>ese violations</w:t>
      </w:r>
      <w:r w:rsidR="00EA65E2">
        <w:t xml:space="preserve"> </w:t>
      </w:r>
      <w:r w:rsidR="000B1753">
        <w:t>are</w:t>
      </w:r>
      <w:r w:rsidR="00EA65E2">
        <w:t xml:space="preserve"> evidenced by the</w:t>
      </w:r>
      <w:r w:rsidR="0078434B">
        <w:t xml:space="preserve"> histogram</w:t>
      </w:r>
      <w:r w:rsidR="00335836">
        <w:t>s</w:t>
      </w:r>
      <w:r w:rsidR="00EA65E2">
        <w:t>, probability plot</w:t>
      </w:r>
      <w:r w:rsidR="00335836">
        <w:t>s</w:t>
      </w:r>
      <w:r w:rsidR="00EA65E2">
        <w:t xml:space="preserve"> and Shaprio-Wilks test</w:t>
      </w:r>
      <w:r w:rsidR="00335836">
        <w:t>s</w:t>
      </w:r>
      <w:r w:rsidR="00EA65E2">
        <w:t xml:space="preserve"> seen below.</w:t>
      </w:r>
      <w:r w:rsidR="004A1ECE">
        <w:t xml:space="preserve"> </w:t>
      </w:r>
      <w:r w:rsidR="00FE3DA0">
        <w:t xml:space="preserve">Also included below </w:t>
      </w:r>
      <w:r w:rsidR="00C14C6C">
        <w:t>are</w:t>
      </w:r>
      <w:r w:rsidR="00FE3DA0">
        <w:t xml:space="preserve"> the standardized residual plot</w:t>
      </w:r>
      <w:r w:rsidR="009A3B46">
        <w:t>s</w:t>
      </w:r>
      <w:r w:rsidR="00FE3DA0">
        <w:t xml:space="preserve"> for the </w:t>
      </w:r>
      <w:r w:rsidR="009A3B46">
        <w:t>models, where no obvious violations can be seen.</w:t>
      </w:r>
    </w:p>
    <w:p w14:paraId="77F4ECCD" w14:textId="3B8A40AF" w:rsidR="009A3B46" w:rsidRDefault="0058644A" w:rsidP="00C14C6C">
      <w:pPr>
        <w:spacing w:after="0" w:line="480" w:lineRule="auto"/>
        <w:ind w:firstLine="720"/>
        <w:jc w:val="center"/>
      </w:pPr>
      <w:r w:rsidRPr="0058644A">
        <w:rPr>
          <w:noProof/>
        </w:rPr>
        <w:lastRenderedPageBreak/>
        <w:drawing>
          <wp:inline distT="0" distB="0" distL="0" distR="0" wp14:anchorId="70028479" wp14:editId="1BFED48B">
            <wp:extent cx="4316125" cy="2811014"/>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6125" cy="2811014"/>
                    </a:xfrm>
                    <a:prstGeom prst="rect">
                      <a:avLst/>
                    </a:prstGeom>
                  </pic:spPr>
                </pic:pic>
              </a:graphicData>
            </a:graphic>
          </wp:inline>
        </w:drawing>
      </w:r>
      <w:r w:rsidR="00CE356D" w:rsidRPr="00CE356D">
        <w:rPr>
          <w:noProof/>
        </w:rPr>
        <w:drawing>
          <wp:inline distT="0" distB="0" distL="0" distR="0" wp14:anchorId="1A36695E" wp14:editId="76B1883C">
            <wp:extent cx="4317558" cy="2830861"/>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5922" cy="2875685"/>
                    </a:xfrm>
                    <a:prstGeom prst="rect">
                      <a:avLst/>
                    </a:prstGeom>
                  </pic:spPr>
                </pic:pic>
              </a:graphicData>
            </a:graphic>
          </wp:inline>
        </w:drawing>
      </w:r>
    </w:p>
    <w:p w14:paraId="22ABC926" w14:textId="2C25DCE8" w:rsidR="00FA46DC" w:rsidRDefault="00FF552F" w:rsidP="007366C2">
      <w:pPr>
        <w:spacing w:after="0" w:line="480" w:lineRule="auto"/>
        <w:ind w:firstLine="720"/>
        <w:jc w:val="center"/>
      </w:pPr>
      <w:r w:rsidRPr="00FF552F">
        <w:rPr>
          <w:noProof/>
        </w:rPr>
        <w:lastRenderedPageBreak/>
        <w:drawing>
          <wp:inline distT="0" distB="0" distL="0" distR="0" wp14:anchorId="504B846A" wp14:editId="3E096F29">
            <wp:extent cx="4564049" cy="309499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4262" cy="3101915"/>
                    </a:xfrm>
                    <a:prstGeom prst="rect">
                      <a:avLst/>
                    </a:prstGeom>
                  </pic:spPr>
                </pic:pic>
              </a:graphicData>
            </a:graphic>
          </wp:inline>
        </w:drawing>
      </w:r>
    </w:p>
    <w:p w14:paraId="2ECDC08C" w14:textId="43987C8F" w:rsidR="00FA46DC" w:rsidRDefault="007366C2" w:rsidP="00C14C6C">
      <w:pPr>
        <w:spacing w:after="0" w:line="480" w:lineRule="auto"/>
        <w:ind w:firstLine="720"/>
        <w:jc w:val="center"/>
      </w:pPr>
      <w:r w:rsidRPr="007366C2">
        <w:rPr>
          <w:noProof/>
        </w:rPr>
        <w:drawing>
          <wp:inline distT="0" distB="0" distL="0" distR="0" wp14:anchorId="592EF185" wp14:editId="3FAEFD7C">
            <wp:extent cx="4582357" cy="302944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3986" cy="3037135"/>
                    </a:xfrm>
                    <a:prstGeom prst="rect">
                      <a:avLst/>
                    </a:prstGeom>
                  </pic:spPr>
                </pic:pic>
              </a:graphicData>
            </a:graphic>
          </wp:inline>
        </w:drawing>
      </w:r>
    </w:p>
    <w:p w14:paraId="4BEF5057" w14:textId="7D0FBA65" w:rsidR="007366C2" w:rsidRDefault="007366C2" w:rsidP="00C14C6C">
      <w:pPr>
        <w:spacing w:after="0" w:line="480" w:lineRule="auto"/>
        <w:ind w:firstLine="720"/>
        <w:jc w:val="center"/>
      </w:pPr>
      <w:r w:rsidRPr="007366C2">
        <w:rPr>
          <w:noProof/>
        </w:rPr>
        <w:lastRenderedPageBreak/>
        <w:drawing>
          <wp:inline distT="0" distB="0" distL="0" distR="0" wp14:anchorId="25983C30" wp14:editId="6DCC200D">
            <wp:extent cx="4476584" cy="28796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520" cy="2889256"/>
                    </a:xfrm>
                    <a:prstGeom prst="rect">
                      <a:avLst/>
                    </a:prstGeom>
                  </pic:spPr>
                </pic:pic>
              </a:graphicData>
            </a:graphic>
          </wp:inline>
        </w:drawing>
      </w:r>
    </w:p>
    <w:p w14:paraId="5F6EA289" w14:textId="0B5D7CE7" w:rsidR="007366C2" w:rsidRDefault="005331F7" w:rsidP="00C14C6C">
      <w:pPr>
        <w:spacing w:after="0" w:line="480" w:lineRule="auto"/>
        <w:ind w:firstLine="720"/>
        <w:jc w:val="center"/>
      </w:pPr>
      <w:r w:rsidRPr="005331F7">
        <w:rPr>
          <w:noProof/>
        </w:rPr>
        <w:drawing>
          <wp:inline distT="0" distB="0" distL="0" distR="0" wp14:anchorId="1C8D5946" wp14:editId="0DCD0120">
            <wp:extent cx="4428876" cy="292987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310" cy="2936774"/>
                    </a:xfrm>
                    <a:prstGeom prst="rect">
                      <a:avLst/>
                    </a:prstGeom>
                  </pic:spPr>
                </pic:pic>
              </a:graphicData>
            </a:graphic>
          </wp:inline>
        </w:drawing>
      </w:r>
    </w:p>
    <w:p w14:paraId="4841A86D" w14:textId="070C0F53" w:rsidR="00EA65E2" w:rsidRDefault="00137783" w:rsidP="002F2BF5">
      <w:pPr>
        <w:spacing w:after="0" w:line="480" w:lineRule="auto"/>
        <w:ind w:firstLine="720"/>
        <w:jc w:val="center"/>
      </w:pPr>
      <w:r w:rsidRPr="00137783">
        <w:rPr>
          <w:noProof/>
        </w:rPr>
        <w:drawing>
          <wp:inline distT="0" distB="0" distL="0" distR="0" wp14:anchorId="3D361E0D" wp14:editId="4B617900">
            <wp:extent cx="2232643" cy="7712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4144" cy="775250"/>
                    </a:xfrm>
                    <a:prstGeom prst="rect">
                      <a:avLst/>
                    </a:prstGeom>
                  </pic:spPr>
                </pic:pic>
              </a:graphicData>
            </a:graphic>
          </wp:inline>
        </w:drawing>
      </w:r>
      <w:r w:rsidR="002F2BF5" w:rsidRPr="002F2BF5">
        <w:rPr>
          <w:noProof/>
        </w:rPr>
        <w:t xml:space="preserve"> </w:t>
      </w:r>
      <w:r w:rsidR="002F2BF5" w:rsidRPr="002F2BF5">
        <w:rPr>
          <w:noProof/>
        </w:rPr>
        <w:drawing>
          <wp:inline distT="0" distB="0" distL="0" distR="0" wp14:anchorId="392CE7C5" wp14:editId="68252D6E">
            <wp:extent cx="2221313" cy="755374"/>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251" cy="761134"/>
                    </a:xfrm>
                    <a:prstGeom prst="rect">
                      <a:avLst/>
                    </a:prstGeom>
                  </pic:spPr>
                </pic:pic>
              </a:graphicData>
            </a:graphic>
          </wp:inline>
        </w:drawing>
      </w:r>
    </w:p>
    <w:p w14:paraId="55FEB897" w14:textId="354E599E" w:rsidR="00EA65E2" w:rsidRDefault="00EA65E2" w:rsidP="00EA65E2">
      <w:pPr>
        <w:spacing w:after="0" w:line="480" w:lineRule="auto"/>
      </w:pPr>
      <w:r>
        <w:t xml:space="preserve">For the relationship between </w:t>
      </w:r>
      <w:r w:rsidR="00D7374E">
        <w:t>P</w:t>
      </w:r>
      <w:r>
        <w:t xml:space="preserve">artners and </w:t>
      </w:r>
      <w:r w:rsidR="00D7374E">
        <w:t>Net Revenue</w:t>
      </w:r>
      <w:r>
        <w:t xml:space="preserve">, </w:t>
      </w:r>
      <w:r w:rsidR="00167457">
        <w:t xml:space="preserve">the assumption of a </w:t>
      </w:r>
      <w:r w:rsidR="00BA489F">
        <w:t>normal distribution of the standardized errors is again violated (</w:t>
      </w:r>
      <w:r w:rsidR="00E1352A">
        <w:t>based predominantly on the Shaprio-Wilks p-value</w:t>
      </w:r>
      <w:r w:rsidR="00BA489F">
        <w:t>) and furthermore</w:t>
      </w:r>
      <w:r w:rsidR="00AD0CE2">
        <w:t xml:space="preserve"> the relationship is plague</w:t>
      </w:r>
      <w:r w:rsidR="00167457">
        <w:t>d</w:t>
      </w:r>
      <w:r w:rsidR="00AD0CE2">
        <w:t xml:space="preserve"> by heteroskedasticity. The issues with normality are again </w:t>
      </w:r>
      <w:r w:rsidR="00AD0CE2">
        <w:lastRenderedPageBreak/>
        <w:t xml:space="preserve">shown through the </w:t>
      </w:r>
      <w:r w:rsidR="00167457">
        <w:t xml:space="preserve">same methods, and the heteroskedasticity is evidenced by the standardized residual plot which shows that </w:t>
      </w:r>
      <w:r w:rsidR="004D3BE5">
        <w:t xml:space="preserve">the </w:t>
      </w:r>
      <w:r w:rsidR="008E4C85">
        <w:t>standard deviation</w:t>
      </w:r>
      <w:r w:rsidR="007C7FAA">
        <w:t xml:space="preserve"> of the epsilon</w:t>
      </w:r>
      <w:r w:rsidR="00C57987">
        <w:t xml:space="preserve">s </w:t>
      </w:r>
      <w:proofErr w:type="gramStart"/>
      <w:r w:rsidR="00C57987">
        <w:t>are</w:t>
      </w:r>
      <w:proofErr w:type="gramEnd"/>
      <w:r w:rsidR="007C7FAA">
        <w:t xml:space="preserve"> </w:t>
      </w:r>
      <w:r w:rsidR="00FD32B7">
        <w:t>increas</w:t>
      </w:r>
      <w:r w:rsidR="00224C89">
        <w:t>ing</w:t>
      </w:r>
      <w:r w:rsidR="00FD32B7">
        <w:t xml:space="preserve"> as the number of partners increases.</w:t>
      </w:r>
    </w:p>
    <w:p w14:paraId="4FAD0887" w14:textId="561229DF" w:rsidR="002F2BF5" w:rsidRDefault="00E1352A" w:rsidP="002F2BF5">
      <w:pPr>
        <w:spacing w:after="0" w:line="480" w:lineRule="auto"/>
        <w:jc w:val="center"/>
      </w:pPr>
      <w:r w:rsidRPr="00E1352A">
        <w:rPr>
          <w:noProof/>
        </w:rPr>
        <w:drawing>
          <wp:inline distT="0" distB="0" distL="0" distR="0" wp14:anchorId="30877BEB" wp14:editId="3735AC53">
            <wp:extent cx="4548146" cy="29961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071" cy="3003996"/>
                    </a:xfrm>
                    <a:prstGeom prst="rect">
                      <a:avLst/>
                    </a:prstGeom>
                  </pic:spPr>
                </pic:pic>
              </a:graphicData>
            </a:graphic>
          </wp:inline>
        </w:drawing>
      </w:r>
    </w:p>
    <w:p w14:paraId="11DD31DF" w14:textId="70826A6E" w:rsidR="00E1352A" w:rsidRDefault="005621F2" w:rsidP="002F2BF5">
      <w:pPr>
        <w:spacing w:after="0" w:line="480" w:lineRule="auto"/>
        <w:jc w:val="center"/>
      </w:pPr>
      <w:r w:rsidRPr="005621F2">
        <w:rPr>
          <w:noProof/>
        </w:rPr>
        <w:drawing>
          <wp:inline distT="0" distB="0" distL="0" distR="0" wp14:anchorId="563A02CF" wp14:editId="4242DF61">
            <wp:extent cx="4568950" cy="299764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6772" cy="3009335"/>
                    </a:xfrm>
                    <a:prstGeom prst="rect">
                      <a:avLst/>
                    </a:prstGeom>
                  </pic:spPr>
                </pic:pic>
              </a:graphicData>
            </a:graphic>
          </wp:inline>
        </w:drawing>
      </w:r>
    </w:p>
    <w:p w14:paraId="05FA3C86" w14:textId="0E6BFBBB" w:rsidR="0032261A" w:rsidRDefault="005621F2" w:rsidP="005621F2">
      <w:pPr>
        <w:spacing w:after="0" w:line="480" w:lineRule="auto"/>
        <w:jc w:val="center"/>
      </w:pPr>
      <w:r w:rsidRPr="005621F2">
        <w:rPr>
          <w:noProof/>
        </w:rPr>
        <w:lastRenderedPageBreak/>
        <w:drawing>
          <wp:inline distT="0" distB="0" distL="0" distR="0" wp14:anchorId="4216096E" wp14:editId="112BBBCB">
            <wp:extent cx="4500438" cy="294884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2741" cy="2963458"/>
                    </a:xfrm>
                    <a:prstGeom prst="rect">
                      <a:avLst/>
                    </a:prstGeom>
                  </pic:spPr>
                </pic:pic>
              </a:graphicData>
            </a:graphic>
          </wp:inline>
        </w:drawing>
      </w:r>
    </w:p>
    <w:p w14:paraId="5FA4DFF1" w14:textId="7D10A0E8" w:rsidR="003D5F26" w:rsidRDefault="003D5F26" w:rsidP="005621F2">
      <w:pPr>
        <w:spacing w:after="0" w:line="480" w:lineRule="auto"/>
        <w:jc w:val="center"/>
      </w:pPr>
      <w:r w:rsidRPr="003D5F26">
        <w:rPr>
          <w:noProof/>
        </w:rPr>
        <w:drawing>
          <wp:inline distT="0" distB="0" distL="0" distR="0" wp14:anchorId="01F9EEAE" wp14:editId="53CBCD7E">
            <wp:extent cx="2552369" cy="89790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754" cy="908240"/>
                    </a:xfrm>
                    <a:prstGeom prst="rect">
                      <a:avLst/>
                    </a:prstGeom>
                  </pic:spPr>
                </pic:pic>
              </a:graphicData>
            </a:graphic>
          </wp:inline>
        </w:drawing>
      </w:r>
    </w:p>
    <w:p w14:paraId="4CA8755E" w14:textId="0D87EAEF" w:rsidR="00E52C2C" w:rsidRDefault="0032261A" w:rsidP="00C8210F">
      <w:pPr>
        <w:spacing w:after="0" w:line="480" w:lineRule="auto"/>
      </w:pPr>
      <w:r>
        <w:t xml:space="preserve">For the linear relationship between Employees and Net Revenue, the assumption of normality actually holds in this case, but again </w:t>
      </w:r>
      <w:r w:rsidR="003A32E6">
        <w:t>there are signs of heteroskedasticity in turn violating the assumption as a whole.</w:t>
      </w:r>
    </w:p>
    <w:p w14:paraId="4C14D75A" w14:textId="7C835C6C" w:rsidR="00E52C2C" w:rsidRDefault="00E52C2C" w:rsidP="00E52C2C">
      <w:pPr>
        <w:spacing w:after="0" w:line="480" w:lineRule="auto"/>
        <w:jc w:val="center"/>
      </w:pPr>
      <w:r w:rsidRPr="00E52C2C">
        <w:rPr>
          <w:noProof/>
        </w:rPr>
        <w:drawing>
          <wp:inline distT="0" distB="0" distL="0" distR="0" wp14:anchorId="76890BD8" wp14:editId="2275FF0A">
            <wp:extent cx="4315359" cy="280821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5727" cy="2834481"/>
                    </a:xfrm>
                    <a:prstGeom prst="rect">
                      <a:avLst/>
                    </a:prstGeom>
                  </pic:spPr>
                </pic:pic>
              </a:graphicData>
            </a:graphic>
          </wp:inline>
        </w:drawing>
      </w:r>
    </w:p>
    <w:p w14:paraId="5391AA29" w14:textId="14E11AF2" w:rsidR="00E52C2C" w:rsidRDefault="00724D58" w:rsidP="00724D58">
      <w:pPr>
        <w:spacing w:after="0" w:line="480" w:lineRule="auto"/>
        <w:jc w:val="center"/>
      </w:pPr>
      <w:r w:rsidRPr="00724D58">
        <w:rPr>
          <w:noProof/>
        </w:rPr>
        <w:lastRenderedPageBreak/>
        <w:drawing>
          <wp:inline distT="0" distB="0" distL="0" distR="0" wp14:anchorId="51C63370" wp14:editId="447F963F">
            <wp:extent cx="4407484" cy="2926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4630" cy="2937463"/>
                    </a:xfrm>
                    <a:prstGeom prst="rect">
                      <a:avLst/>
                    </a:prstGeom>
                  </pic:spPr>
                </pic:pic>
              </a:graphicData>
            </a:graphic>
          </wp:inline>
        </w:drawing>
      </w:r>
    </w:p>
    <w:p w14:paraId="422A5051" w14:textId="1AD384D1" w:rsidR="008E4C85" w:rsidRDefault="00724D58" w:rsidP="00724D58">
      <w:pPr>
        <w:spacing w:after="0" w:line="480" w:lineRule="auto"/>
        <w:jc w:val="center"/>
      </w:pPr>
      <w:r w:rsidRPr="00724D58">
        <w:rPr>
          <w:noProof/>
        </w:rPr>
        <w:drawing>
          <wp:inline distT="0" distB="0" distL="0" distR="0" wp14:anchorId="49B42247" wp14:editId="6B729E9C">
            <wp:extent cx="4508390" cy="2994997"/>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3528" cy="3005053"/>
                    </a:xfrm>
                    <a:prstGeom prst="rect">
                      <a:avLst/>
                    </a:prstGeom>
                  </pic:spPr>
                </pic:pic>
              </a:graphicData>
            </a:graphic>
          </wp:inline>
        </w:drawing>
      </w:r>
    </w:p>
    <w:p w14:paraId="3F9B03AB" w14:textId="02A5A6A1" w:rsidR="00724D58" w:rsidRDefault="003C7EB7" w:rsidP="00724D58">
      <w:pPr>
        <w:spacing w:after="0" w:line="480" w:lineRule="auto"/>
        <w:jc w:val="center"/>
      </w:pPr>
      <w:r w:rsidRPr="003C7EB7">
        <w:rPr>
          <w:noProof/>
        </w:rPr>
        <w:drawing>
          <wp:inline distT="0" distB="0" distL="0" distR="0" wp14:anchorId="27F621AB" wp14:editId="6555107D">
            <wp:extent cx="2496710" cy="87041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7304" cy="881079"/>
                    </a:xfrm>
                    <a:prstGeom prst="rect">
                      <a:avLst/>
                    </a:prstGeom>
                  </pic:spPr>
                </pic:pic>
              </a:graphicData>
            </a:graphic>
          </wp:inline>
        </w:drawing>
      </w:r>
    </w:p>
    <w:p w14:paraId="7AF6450C" w14:textId="7AC054DC" w:rsidR="00335836" w:rsidRDefault="00335836" w:rsidP="00EA65E2">
      <w:pPr>
        <w:spacing w:after="0" w:line="480" w:lineRule="auto"/>
      </w:pPr>
      <w:r>
        <w:t>For both of the multiple regression models the</w:t>
      </w:r>
      <w:r w:rsidR="003562FC">
        <w:t xml:space="preserve">re are no obvious issues with </w:t>
      </w:r>
      <w:r w:rsidR="0071225D">
        <w:t>any aspect of the assumption</w:t>
      </w:r>
      <w:r w:rsidR="00285EBE">
        <w:t xml:space="preserve"> as</w:t>
      </w:r>
      <w:r w:rsidR="00097BDD">
        <w:t xml:space="preserve"> a whole</w:t>
      </w:r>
      <w:r w:rsidR="003562FC">
        <w:t>.</w:t>
      </w:r>
      <w:r w:rsidR="0071225D">
        <w:t xml:space="preserve"> </w:t>
      </w:r>
      <w:r w:rsidR="00825A8E">
        <w:t>Evidence of no violations can be seen below.</w:t>
      </w:r>
    </w:p>
    <w:p w14:paraId="7277F7B8" w14:textId="53492303" w:rsidR="003C7EB7" w:rsidRDefault="00556281" w:rsidP="003C7EB7">
      <w:pPr>
        <w:spacing w:after="0" w:line="480" w:lineRule="auto"/>
        <w:jc w:val="center"/>
      </w:pPr>
      <w:r w:rsidRPr="00556281">
        <w:rPr>
          <w:noProof/>
        </w:rPr>
        <w:lastRenderedPageBreak/>
        <w:drawing>
          <wp:inline distT="0" distB="0" distL="0" distR="0" wp14:anchorId="1A7E05C0" wp14:editId="1632630C">
            <wp:extent cx="4537342" cy="306125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3486" cy="3072144"/>
                    </a:xfrm>
                    <a:prstGeom prst="rect">
                      <a:avLst/>
                    </a:prstGeom>
                  </pic:spPr>
                </pic:pic>
              </a:graphicData>
            </a:graphic>
          </wp:inline>
        </w:drawing>
      </w:r>
    </w:p>
    <w:p w14:paraId="37D101D5" w14:textId="7480D78E" w:rsidR="00556281" w:rsidRDefault="00BD51D4" w:rsidP="003C7EB7">
      <w:pPr>
        <w:spacing w:after="0" w:line="480" w:lineRule="auto"/>
        <w:jc w:val="center"/>
      </w:pPr>
      <w:r w:rsidRPr="00BD51D4">
        <w:rPr>
          <w:noProof/>
        </w:rPr>
        <w:drawing>
          <wp:inline distT="0" distB="0" distL="0" distR="0" wp14:anchorId="6D032C92" wp14:editId="5CDA98BB">
            <wp:extent cx="4667416" cy="30572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6875" cy="3063453"/>
                    </a:xfrm>
                    <a:prstGeom prst="rect">
                      <a:avLst/>
                    </a:prstGeom>
                  </pic:spPr>
                </pic:pic>
              </a:graphicData>
            </a:graphic>
          </wp:inline>
        </w:drawing>
      </w:r>
    </w:p>
    <w:p w14:paraId="0DDA4A5D" w14:textId="1F2B95AD" w:rsidR="00BD51D4" w:rsidRDefault="00BD51D4" w:rsidP="003C7EB7">
      <w:pPr>
        <w:spacing w:after="0" w:line="480" w:lineRule="auto"/>
        <w:jc w:val="center"/>
      </w:pPr>
      <w:r w:rsidRPr="00BD51D4">
        <w:rPr>
          <w:noProof/>
        </w:rPr>
        <w:lastRenderedPageBreak/>
        <w:drawing>
          <wp:inline distT="0" distB="0" distL="0" distR="0" wp14:anchorId="5B0D041F" wp14:editId="1A469EED">
            <wp:extent cx="4718049" cy="3101009"/>
            <wp:effectExtent l="0" t="0" r="698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1339" cy="3109744"/>
                    </a:xfrm>
                    <a:prstGeom prst="rect">
                      <a:avLst/>
                    </a:prstGeom>
                  </pic:spPr>
                </pic:pic>
              </a:graphicData>
            </a:graphic>
          </wp:inline>
        </w:drawing>
      </w:r>
    </w:p>
    <w:p w14:paraId="6619C046" w14:textId="692B38B3" w:rsidR="00BD51D4" w:rsidRDefault="009A2941" w:rsidP="003C7EB7">
      <w:pPr>
        <w:spacing w:after="0" w:line="480" w:lineRule="auto"/>
        <w:jc w:val="center"/>
      </w:pPr>
      <w:r w:rsidRPr="009A2941">
        <w:rPr>
          <w:noProof/>
        </w:rPr>
        <w:drawing>
          <wp:inline distT="0" distB="0" distL="0" distR="0" wp14:anchorId="40411E64" wp14:editId="552AFB86">
            <wp:extent cx="4787946" cy="31566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6086" cy="3168627"/>
                    </a:xfrm>
                    <a:prstGeom prst="rect">
                      <a:avLst/>
                    </a:prstGeom>
                  </pic:spPr>
                </pic:pic>
              </a:graphicData>
            </a:graphic>
          </wp:inline>
        </w:drawing>
      </w:r>
    </w:p>
    <w:p w14:paraId="3A2B284F" w14:textId="77777777" w:rsidR="009A2941" w:rsidRDefault="009A2941" w:rsidP="003C7EB7">
      <w:pPr>
        <w:spacing w:after="0" w:line="480" w:lineRule="auto"/>
        <w:jc w:val="center"/>
      </w:pPr>
    </w:p>
    <w:p w14:paraId="6D522A6A" w14:textId="001C0F45" w:rsidR="007A1A0E" w:rsidRDefault="00395A3B" w:rsidP="00395A3B">
      <w:pPr>
        <w:spacing w:after="0" w:line="480" w:lineRule="auto"/>
        <w:ind w:firstLine="720"/>
        <w:jc w:val="center"/>
      </w:pPr>
      <w:r w:rsidRPr="00395A3B">
        <w:rPr>
          <w:noProof/>
        </w:rPr>
        <w:lastRenderedPageBreak/>
        <w:drawing>
          <wp:inline distT="0" distB="0" distL="0" distR="0" wp14:anchorId="236C2160" wp14:editId="394E5550">
            <wp:extent cx="4354868" cy="2830664"/>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308" cy="2835500"/>
                    </a:xfrm>
                    <a:prstGeom prst="rect">
                      <a:avLst/>
                    </a:prstGeom>
                  </pic:spPr>
                </pic:pic>
              </a:graphicData>
            </a:graphic>
          </wp:inline>
        </w:drawing>
      </w:r>
    </w:p>
    <w:p w14:paraId="4F8267F6" w14:textId="7B45C0E6" w:rsidR="00395A3B" w:rsidRDefault="00395A3B" w:rsidP="00395A3B">
      <w:pPr>
        <w:spacing w:after="0" w:line="480" w:lineRule="auto"/>
        <w:ind w:firstLine="720"/>
        <w:jc w:val="center"/>
      </w:pPr>
      <w:r w:rsidRPr="00395A3B">
        <w:rPr>
          <w:noProof/>
        </w:rPr>
        <w:drawing>
          <wp:inline distT="0" distB="0" distL="0" distR="0" wp14:anchorId="5E5E1BA0" wp14:editId="3DB0F1A7">
            <wp:extent cx="4341412" cy="286690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4451" cy="2875520"/>
                    </a:xfrm>
                    <a:prstGeom prst="rect">
                      <a:avLst/>
                    </a:prstGeom>
                  </pic:spPr>
                </pic:pic>
              </a:graphicData>
            </a:graphic>
          </wp:inline>
        </w:drawing>
      </w:r>
    </w:p>
    <w:p w14:paraId="3E063EA7" w14:textId="2032FF1F" w:rsidR="00395A3B" w:rsidRDefault="008B6538" w:rsidP="00395A3B">
      <w:pPr>
        <w:spacing w:after="0" w:line="480" w:lineRule="auto"/>
        <w:ind w:firstLine="720"/>
        <w:jc w:val="center"/>
      </w:pPr>
      <w:r w:rsidRPr="008B6538">
        <w:rPr>
          <w:noProof/>
        </w:rPr>
        <w:drawing>
          <wp:inline distT="0" distB="0" distL="0" distR="0" wp14:anchorId="6024E679" wp14:editId="5AAC89EB">
            <wp:extent cx="2178658" cy="8058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0543" cy="810295"/>
                    </a:xfrm>
                    <a:prstGeom prst="rect">
                      <a:avLst/>
                    </a:prstGeom>
                  </pic:spPr>
                </pic:pic>
              </a:graphicData>
            </a:graphic>
          </wp:inline>
        </w:drawing>
      </w:r>
      <w:r w:rsidR="003F70BB" w:rsidRPr="003F70BB">
        <w:rPr>
          <w:noProof/>
        </w:rPr>
        <w:t xml:space="preserve"> </w:t>
      </w:r>
      <w:r w:rsidR="003F70BB" w:rsidRPr="003F70BB">
        <w:rPr>
          <w:noProof/>
        </w:rPr>
        <w:drawing>
          <wp:inline distT="0" distB="0" distL="0" distR="0" wp14:anchorId="735D4BEF" wp14:editId="4CD4AB1D">
            <wp:extent cx="2488758" cy="856191"/>
            <wp:effectExtent l="0" t="0" r="698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4839" cy="861723"/>
                    </a:xfrm>
                    <a:prstGeom prst="rect">
                      <a:avLst/>
                    </a:prstGeom>
                  </pic:spPr>
                </pic:pic>
              </a:graphicData>
            </a:graphic>
          </wp:inline>
        </w:drawing>
      </w:r>
    </w:p>
    <w:p w14:paraId="610F8778" w14:textId="052288DF" w:rsidR="003E2D16" w:rsidRDefault="00B94372" w:rsidP="0003331C">
      <w:pPr>
        <w:spacing w:after="0" w:line="480" w:lineRule="auto"/>
        <w:ind w:firstLine="720"/>
      </w:pPr>
      <w:r>
        <w:t xml:space="preserve">In order to generate </w:t>
      </w:r>
      <w:r w:rsidR="00A27BEB">
        <w:t xml:space="preserve">the information that can be found within the first </w:t>
      </w:r>
      <w:r w:rsidR="003D6C79">
        <w:t>portion</w:t>
      </w:r>
      <w:r w:rsidR="00A27BEB">
        <w:t xml:space="preserve"> of the analysis section</w:t>
      </w:r>
      <w:r w:rsidR="00682C41">
        <w:t xml:space="preserve"> basic R functionality was utilized. </w:t>
      </w:r>
      <w:r w:rsidR="003D6C79">
        <w:t>“Table 1”</w:t>
      </w:r>
      <w:r w:rsidR="00682C41">
        <w:t xml:space="preserve"> was generated using basic summary/confidence </w:t>
      </w:r>
      <w:r w:rsidR="00682C41">
        <w:lastRenderedPageBreak/>
        <w:t xml:space="preserve">interval functions on the aggregate data frame, and each of the </w:t>
      </w:r>
      <w:r w:rsidR="003D6C79">
        <w:t>subsequent plots</w:t>
      </w:r>
      <w:r w:rsidR="00682C41">
        <w:t xml:space="preserve"> were produced using ggplot2.</w:t>
      </w:r>
    </w:p>
    <w:p w14:paraId="5E77E05D" w14:textId="4FD9921A" w:rsidR="00654D2F" w:rsidRDefault="00654D2F" w:rsidP="0003331C">
      <w:pPr>
        <w:spacing w:after="0" w:line="480" w:lineRule="auto"/>
        <w:ind w:firstLine="720"/>
      </w:pPr>
      <w:r>
        <w:t xml:space="preserve">The analysis of the linear relationships between each of the factors and net revenue </w:t>
      </w:r>
      <w:r w:rsidR="00C43230">
        <w:t xml:space="preserve">was performed </w:t>
      </w:r>
      <w:r w:rsidR="003D6C79">
        <w:t>using R’s built</w:t>
      </w:r>
      <w:r w:rsidR="00271904">
        <w:t>-</w:t>
      </w:r>
      <w:r w:rsidR="003D6C79">
        <w:t xml:space="preserve">in linear modeling </w:t>
      </w:r>
      <w:r w:rsidR="001B4F11">
        <w:t xml:space="preserve">functionality. For each, a linear relationship was first established between the predictor (Offices, Partners, or Employees) and </w:t>
      </w:r>
      <w:r w:rsidR="00917E77">
        <w:t>N</w:t>
      </w:r>
      <w:r w:rsidR="00A351C8">
        <w:t xml:space="preserve">et </w:t>
      </w:r>
      <w:r w:rsidR="00917E77">
        <w:t>R</w:t>
      </w:r>
      <w:r w:rsidR="00A351C8">
        <w:t>evenue. Each relationship was then evaluated within R using summary</w:t>
      </w:r>
      <w:r w:rsidR="00164EF5">
        <w:t>/confint</w:t>
      </w:r>
      <w:r w:rsidR="00A351C8">
        <w:t xml:space="preserve"> </w:t>
      </w:r>
      <w:r w:rsidR="00FA668A">
        <w:t>functionality and</w:t>
      </w:r>
      <w:r w:rsidR="00A351C8">
        <w:t xml:space="preserve"> was in turn translated into “Table 2” for </w:t>
      </w:r>
      <w:r w:rsidR="00FA668A">
        <w:t>the sake of improved readability.</w:t>
      </w:r>
      <w:r w:rsidR="006C7E35">
        <w:t xml:space="preserve"> The summary</w:t>
      </w:r>
      <w:r w:rsidR="00164EF5">
        <w:t>/confint</w:t>
      </w:r>
      <w:r w:rsidR="006C7E35">
        <w:t xml:space="preserve"> R </w:t>
      </w:r>
      <w:r w:rsidR="00943B01">
        <w:t>output</w:t>
      </w:r>
      <w:r w:rsidR="006C7E35">
        <w:t xml:space="preserve"> for each of the linear models can be seen below.</w:t>
      </w:r>
      <w:r w:rsidR="00FA668A">
        <w:t xml:space="preserve"> </w:t>
      </w:r>
      <w:r w:rsidR="002B409E">
        <w:t xml:space="preserve">These relationships were </w:t>
      </w:r>
      <w:r w:rsidR="00B86EEC">
        <w:t>again</w:t>
      </w:r>
      <w:r w:rsidR="002B409E">
        <w:t xml:space="preserve"> graphed using ggplot2</w:t>
      </w:r>
      <w:r w:rsidR="006C7E35">
        <w:t>.</w:t>
      </w:r>
      <w:r w:rsidR="00EF0E06">
        <w:t xml:space="preserve"> An important aside that carries across each linear and multiple regression model is that this data </w:t>
      </w:r>
      <w:r w:rsidR="00212720">
        <w:t>is potentially an example of correlation not causation. More analysis would be needed to evidence this, but to assume</w:t>
      </w:r>
      <w:r w:rsidR="008B5EF9">
        <w:t xml:space="preserve"> for example that</w:t>
      </w:r>
      <w:r w:rsidR="00212720">
        <w:t xml:space="preserve"> simply hiring more employees without a need for</w:t>
      </w:r>
      <w:r w:rsidR="00713EDD">
        <w:t xml:space="preserve"> them will result in increased revenues is logically precarious. </w:t>
      </w:r>
    </w:p>
    <w:p w14:paraId="3E6BA428" w14:textId="1E691424" w:rsidR="006C7E35" w:rsidRDefault="00A636DF" w:rsidP="00A636DF">
      <w:pPr>
        <w:spacing w:after="0" w:line="480" w:lineRule="auto"/>
        <w:ind w:firstLine="720"/>
        <w:jc w:val="both"/>
      </w:pPr>
      <w:r w:rsidRPr="00A636DF">
        <w:rPr>
          <w:noProof/>
        </w:rPr>
        <w:drawing>
          <wp:inline distT="0" distB="0" distL="0" distR="0" wp14:anchorId="10E5F84F" wp14:editId="2B756CF0">
            <wp:extent cx="2644793" cy="1939797"/>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6392" cy="1962973"/>
                    </a:xfrm>
                    <a:prstGeom prst="rect">
                      <a:avLst/>
                    </a:prstGeom>
                  </pic:spPr>
                </pic:pic>
              </a:graphicData>
            </a:graphic>
          </wp:inline>
        </w:drawing>
      </w:r>
      <w:r w:rsidR="001E7625" w:rsidRPr="001E7625">
        <w:rPr>
          <w:noProof/>
        </w:rPr>
        <w:drawing>
          <wp:inline distT="0" distB="0" distL="0" distR="0" wp14:anchorId="509AAF24" wp14:editId="15A963DF">
            <wp:extent cx="2697685" cy="192872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8953" cy="1943935"/>
                    </a:xfrm>
                    <a:prstGeom prst="rect">
                      <a:avLst/>
                    </a:prstGeom>
                  </pic:spPr>
                </pic:pic>
              </a:graphicData>
            </a:graphic>
          </wp:inline>
        </w:drawing>
      </w:r>
    </w:p>
    <w:p w14:paraId="120D936C" w14:textId="2977879B" w:rsidR="007A1A0E" w:rsidRDefault="00974623" w:rsidP="00C8210F">
      <w:pPr>
        <w:spacing w:after="0" w:line="480" w:lineRule="auto"/>
        <w:ind w:firstLine="720"/>
      </w:pPr>
      <w:r w:rsidRPr="00974623">
        <w:rPr>
          <w:noProof/>
        </w:rPr>
        <w:drawing>
          <wp:inline distT="0" distB="0" distL="0" distR="0" wp14:anchorId="01BA4C4D" wp14:editId="3DEF664A">
            <wp:extent cx="2584633" cy="18956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2403" cy="1901374"/>
                    </a:xfrm>
                    <a:prstGeom prst="rect">
                      <a:avLst/>
                    </a:prstGeom>
                  </pic:spPr>
                </pic:pic>
              </a:graphicData>
            </a:graphic>
          </wp:inline>
        </w:drawing>
      </w:r>
    </w:p>
    <w:p w14:paraId="407A8D4B" w14:textId="7B8F22AD" w:rsidR="008618E0" w:rsidRDefault="00EB541C" w:rsidP="0003331C">
      <w:pPr>
        <w:spacing w:after="0" w:line="480" w:lineRule="auto"/>
        <w:ind w:firstLine="720"/>
      </w:pPr>
      <w:r>
        <w:lastRenderedPageBreak/>
        <w:t>To evaluate the curvilinear relationship mentioned</w:t>
      </w:r>
      <w:r w:rsidR="00E01807">
        <w:t xml:space="preserve"> in the analysis</w:t>
      </w:r>
      <w:r>
        <w:t xml:space="preserve"> between Offices and Net Revenue</w:t>
      </w:r>
      <w:r w:rsidR="00C861E9">
        <w:t>, a second-order sing</w:t>
      </w:r>
      <w:r w:rsidR="004A2E04">
        <w:t>le</w:t>
      </w:r>
      <w:r w:rsidR="00C861E9">
        <w:t xml:space="preserve"> predictor model was generated. As can be seen in the below R output, </w:t>
      </w:r>
      <w:r w:rsidR="00E01807">
        <w:t>the Beta-Hat</w:t>
      </w:r>
      <w:r w:rsidR="00A74EE9">
        <w:t xml:space="preserve"> coefficient</w:t>
      </w:r>
      <w:r w:rsidR="00E01807">
        <w:t xml:space="preserve"> for the second-order term within the model </w:t>
      </w:r>
      <w:r w:rsidR="00A74EE9">
        <w:t>has a p-value of</w:t>
      </w:r>
      <w:r w:rsidR="00E01807">
        <w:t xml:space="preserve"> </w:t>
      </w:r>
      <w:r w:rsidR="00E1450D">
        <w:t>.</w:t>
      </w:r>
      <w:r w:rsidR="00E01807">
        <w:t>1165</w:t>
      </w:r>
      <w:r w:rsidR="00E1450D">
        <w:t>, which is</w:t>
      </w:r>
      <w:r w:rsidR="00C84BC5">
        <w:t xml:space="preserve"> a</w:t>
      </w:r>
      <w:r w:rsidR="00E1450D">
        <w:t xml:space="preserve"> p-value that could lead to the acceptance of the alternative hypothesis (that a curvilinear relationship does exist) depending on the risk threshold of the decision-maker. </w:t>
      </w:r>
      <w:r w:rsidR="00FD57FF">
        <w:t xml:space="preserve">Furthermore, the </w:t>
      </w:r>
      <w:r w:rsidR="00EC7BA8">
        <w:t xml:space="preserve">fact that the Beta-Hat for the second-order term is negative implies a concave relationship, which was the relationship that was suggested to exist by </w:t>
      </w:r>
      <w:r w:rsidR="00037B90">
        <w:t xml:space="preserve">the client. </w:t>
      </w:r>
    </w:p>
    <w:p w14:paraId="7A44BF34" w14:textId="3A682853" w:rsidR="00037B90" w:rsidRDefault="00037B90" w:rsidP="0003331C">
      <w:pPr>
        <w:spacing w:after="0" w:line="480" w:lineRule="auto"/>
        <w:ind w:firstLine="720"/>
      </w:pPr>
    </w:p>
    <w:p w14:paraId="5CDF6354" w14:textId="6920E0E8" w:rsidR="003E2D16" w:rsidRDefault="004314F9" w:rsidP="00956C21">
      <w:pPr>
        <w:spacing w:after="0" w:line="480" w:lineRule="auto"/>
        <w:ind w:firstLine="720"/>
        <w:jc w:val="center"/>
      </w:pPr>
      <w:r w:rsidRPr="004314F9">
        <w:rPr>
          <w:noProof/>
        </w:rPr>
        <w:drawing>
          <wp:inline distT="0" distB="0" distL="0" distR="0" wp14:anchorId="2870FDBF" wp14:editId="5D850E9D">
            <wp:extent cx="3747454" cy="22588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7454" cy="2258883"/>
                    </a:xfrm>
                    <a:prstGeom prst="rect">
                      <a:avLst/>
                    </a:prstGeom>
                  </pic:spPr>
                </pic:pic>
              </a:graphicData>
            </a:graphic>
          </wp:inline>
        </w:drawing>
      </w:r>
    </w:p>
    <w:p w14:paraId="73170A51" w14:textId="622A80BC" w:rsidR="003E2D16" w:rsidRDefault="003E2D16" w:rsidP="0003331C">
      <w:pPr>
        <w:spacing w:after="0" w:line="480" w:lineRule="auto"/>
        <w:ind w:firstLine="720"/>
      </w:pPr>
      <w:r>
        <w:t xml:space="preserve">To </w:t>
      </w:r>
      <w:r w:rsidR="006F6C07">
        <w:t>create the multiple regression models evaluated within the latter portion of the analysis section</w:t>
      </w:r>
      <w:r w:rsidR="000B5B21">
        <w:t xml:space="preserve">, R’s modeling functionality was again used. The core difference in this analysis, aside from the combination of all of the previous factors into one </w:t>
      </w:r>
      <w:r w:rsidR="00D11A5D">
        <w:t>singular</w:t>
      </w:r>
      <w:r w:rsidR="000B5B21">
        <w:t xml:space="preserve"> model, is the inclusion of the region </w:t>
      </w:r>
      <w:r w:rsidR="000A05FE">
        <w:t>factor</w:t>
      </w:r>
      <w:r w:rsidR="00976EDC">
        <w:t xml:space="preserve">. </w:t>
      </w:r>
      <w:r w:rsidR="00BD1C8A">
        <w:t>The region variable</w:t>
      </w:r>
      <w:r w:rsidR="00976EDC">
        <w:t xml:space="preserve"> was coded as a factor variable, and each model was </w:t>
      </w:r>
      <w:r w:rsidR="001C3BA3">
        <w:t xml:space="preserve">in turn </w:t>
      </w:r>
      <w:r w:rsidR="00976EDC">
        <w:t xml:space="preserve">evaluated using each of the 3 regions as the base. </w:t>
      </w:r>
      <w:r w:rsidR="00C72EE1">
        <w:t>The percentages found within the report are all based upon the model which</w:t>
      </w:r>
      <w:r w:rsidR="00DC458F">
        <w:t xml:space="preserve"> contained the smallest p-value for the region variable</w:t>
      </w:r>
      <w:r w:rsidR="00E34379">
        <w:t>, that being the models that used region 2 as the base</w:t>
      </w:r>
      <w:r w:rsidR="00061B05">
        <w:t>.</w:t>
      </w:r>
      <w:r w:rsidR="003B49A2">
        <w:t xml:space="preserve"> </w:t>
      </w:r>
      <w:r w:rsidR="00467361">
        <w:t>The output of both the first and second</w:t>
      </w:r>
      <w:r w:rsidR="00E31E2A">
        <w:t>-</w:t>
      </w:r>
      <w:r w:rsidR="00467361">
        <w:t>order models</w:t>
      </w:r>
      <w:r w:rsidR="00890884">
        <w:t xml:space="preserve"> using region 2 as the base</w:t>
      </w:r>
      <w:r w:rsidR="00467361">
        <w:t xml:space="preserve"> can be seen below.</w:t>
      </w:r>
      <w:r w:rsidR="00890884">
        <w:t xml:space="preserve"> As can be see</w:t>
      </w:r>
      <w:r w:rsidR="00E31E2A">
        <w:t>n in the output</w:t>
      </w:r>
      <w:r w:rsidR="00890884">
        <w:t>, the best</w:t>
      </w:r>
      <w:r w:rsidR="005C4A4B">
        <w:t>-</w:t>
      </w:r>
      <w:r w:rsidR="00890884">
        <w:t xml:space="preserve">case p-values for the region variables are relatively high, </w:t>
      </w:r>
      <w:r w:rsidR="00890884">
        <w:lastRenderedPageBreak/>
        <w:t xml:space="preserve">and in turn a relationship is not implied. </w:t>
      </w:r>
      <w:r w:rsidR="005C4A4B">
        <w:t xml:space="preserve">Additional analysis would be needed to evaluate the possibility of removing this factor entirely from the models and was not in the scope of this report. </w:t>
      </w:r>
    </w:p>
    <w:p w14:paraId="63CFD8CB" w14:textId="4CFC6A08" w:rsidR="00755558" w:rsidRDefault="00755558" w:rsidP="00634B3E">
      <w:pPr>
        <w:spacing w:after="0" w:line="480" w:lineRule="auto"/>
        <w:ind w:firstLine="720"/>
        <w:jc w:val="center"/>
      </w:pPr>
      <w:r w:rsidRPr="00755558">
        <w:rPr>
          <w:noProof/>
        </w:rPr>
        <w:drawing>
          <wp:inline distT="0" distB="0" distL="0" distR="0" wp14:anchorId="7DBDBD02" wp14:editId="25BB0E4E">
            <wp:extent cx="3792773" cy="2577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8486" cy="2588224"/>
                    </a:xfrm>
                    <a:prstGeom prst="rect">
                      <a:avLst/>
                    </a:prstGeom>
                  </pic:spPr>
                </pic:pic>
              </a:graphicData>
            </a:graphic>
          </wp:inline>
        </w:drawing>
      </w:r>
    </w:p>
    <w:p w14:paraId="589A8681" w14:textId="5F3292F6" w:rsidR="003E2D16" w:rsidRDefault="00634B3E" w:rsidP="00E31E2A">
      <w:pPr>
        <w:spacing w:after="0" w:line="480" w:lineRule="auto"/>
        <w:ind w:firstLine="720"/>
        <w:jc w:val="center"/>
      </w:pPr>
      <w:r w:rsidRPr="00634B3E">
        <w:rPr>
          <w:noProof/>
        </w:rPr>
        <w:drawing>
          <wp:inline distT="0" distB="0" distL="0" distR="0" wp14:anchorId="2B039B4D" wp14:editId="4A73BF63">
            <wp:extent cx="3951799" cy="27932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19" cy="2803827"/>
                    </a:xfrm>
                    <a:prstGeom prst="rect">
                      <a:avLst/>
                    </a:prstGeom>
                  </pic:spPr>
                </pic:pic>
              </a:graphicData>
            </a:graphic>
          </wp:inline>
        </w:drawing>
      </w:r>
    </w:p>
    <w:p w14:paraId="323CDCDB" w14:textId="6B6B3FBC" w:rsidR="000E3278" w:rsidRDefault="00C61F2C" w:rsidP="00AB45B1">
      <w:pPr>
        <w:spacing w:after="0" w:line="480" w:lineRule="auto"/>
        <w:ind w:firstLine="720"/>
      </w:pPr>
      <w:r>
        <w:t xml:space="preserve">With regards to interpreting </w:t>
      </w:r>
      <w:r w:rsidR="005721D3">
        <w:t xml:space="preserve">the Beta-Hats </w:t>
      </w:r>
      <w:r w:rsidR="00A55C1F">
        <w:t>of</w:t>
      </w:r>
      <w:r w:rsidR="005721D3">
        <w:t xml:space="preserve"> these models, issues </w:t>
      </w:r>
      <w:r w:rsidR="00517FC4">
        <w:t xml:space="preserve">arise. </w:t>
      </w:r>
      <w:r w:rsidR="00972F1F">
        <w:t>The Beta-Hats for Partners and Employees cannot be interpreted</w:t>
      </w:r>
      <w:r w:rsidR="00C45F30">
        <w:t xml:space="preserve"> in either model</w:t>
      </w:r>
      <w:r w:rsidR="00972F1F">
        <w:t xml:space="preserve"> due to collinearity (expanded upon</w:t>
      </w:r>
      <w:r w:rsidR="00C26CE2">
        <w:t xml:space="preserve"> below), in the second-order model the Beta-Hats</w:t>
      </w:r>
      <w:r w:rsidR="00E21398">
        <w:t xml:space="preserve"> for Offices</w:t>
      </w:r>
      <w:r w:rsidR="00C26CE2">
        <w:t xml:space="preserve"> cannot be interpreted again due to collinearity (created by establishing the curvilinear relationship)</w:t>
      </w:r>
      <w:r w:rsidR="00556670">
        <w:t>, and in n</w:t>
      </w:r>
      <w:r w:rsidR="00367A91">
        <w:t xml:space="preserve">one of the </w:t>
      </w:r>
      <w:r w:rsidR="00556670">
        <w:t>model</w:t>
      </w:r>
      <w:r w:rsidR="00367A91">
        <w:t xml:space="preserve">s (linear or </w:t>
      </w:r>
      <w:r w:rsidR="00367A91">
        <w:lastRenderedPageBreak/>
        <w:t>multiple)</w:t>
      </w:r>
      <w:r w:rsidR="00556670">
        <w:t xml:space="preserve"> </w:t>
      </w:r>
      <w:r w:rsidR="00A87718">
        <w:t xml:space="preserve">should </w:t>
      </w:r>
      <w:r w:rsidR="00556670">
        <w:t xml:space="preserve">the Beta-Hats for the intercepts be interpreted as it would not make sense for accounting firms to have no offices, partners or employees. </w:t>
      </w:r>
    </w:p>
    <w:p w14:paraId="652B1EDB" w14:textId="086B54E2" w:rsidR="003E2D16" w:rsidRDefault="008B2A88" w:rsidP="003E2D16">
      <w:pPr>
        <w:spacing w:after="0" w:line="480" w:lineRule="auto"/>
        <w:ind w:firstLine="720"/>
      </w:pPr>
      <w:r>
        <w:t>As mentioned above, collinearity plagues the data used in this report</w:t>
      </w:r>
      <w:r w:rsidR="003E2D16">
        <w:t xml:space="preserve">. As evidenced by the table below, the 3 main factors of this analysis can all be considered to have a collinear relationship to some degree. When evaluating Offices against both Partners and Employees, collinearity is not explicitly implied by the correlations found. In turn, we are able to include and interpret the Beta-Hat of Offices within the context of the </w:t>
      </w:r>
      <w:r w:rsidR="0088102A">
        <w:t xml:space="preserve">first-order </w:t>
      </w:r>
      <w:r w:rsidR="003E2D16">
        <w:t xml:space="preserve">multi-regression model, but it should be noted that this interpretation should be considered with caution. Conversely, the correlation between Partners and Employees is well beyond the accepted threshold, and </w:t>
      </w:r>
      <w:r w:rsidR="009F407A">
        <w:t xml:space="preserve">in turn </w:t>
      </w:r>
      <w:r w:rsidR="003E2D16">
        <w:t xml:space="preserve">collinearity is implied. </w:t>
      </w:r>
    </w:p>
    <w:p w14:paraId="424BA64E" w14:textId="5795AC13" w:rsidR="003E2D16" w:rsidRDefault="00591071" w:rsidP="00591071">
      <w:pPr>
        <w:tabs>
          <w:tab w:val="left" w:pos="7050"/>
        </w:tabs>
        <w:spacing w:after="0" w:line="480" w:lineRule="auto"/>
        <w:ind w:firstLine="720"/>
      </w:pPr>
      <w:r>
        <w:tab/>
      </w:r>
    </w:p>
    <w:p w14:paraId="6B37C3A4" w14:textId="77777777" w:rsidR="003E2D16" w:rsidRPr="0019263E" w:rsidRDefault="003E2D16" w:rsidP="003E2D16">
      <w:pPr>
        <w:spacing w:after="0" w:line="480" w:lineRule="auto"/>
        <w:ind w:firstLine="720"/>
        <w:jc w:val="center"/>
      </w:pPr>
      <w:r w:rsidRPr="00145D75">
        <w:rPr>
          <w:noProof/>
        </w:rPr>
        <w:drawing>
          <wp:inline distT="0" distB="0" distL="0" distR="0" wp14:anchorId="55596B74" wp14:editId="4C4EF88A">
            <wp:extent cx="2798859" cy="868052"/>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6421" cy="889006"/>
                    </a:xfrm>
                    <a:prstGeom prst="rect">
                      <a:avLst/>
                    </a:prstGeom>
                  </pic:spPr>
                </pic:pic>
              </a:graphicData>
            </a:graphic>
          </wp:inline>
        </w:drawing>
      </w:r>
    </w:p>
    <w:p w14:paraId="7B3A2A75" w14:textId="6F44D566" w:rsidR="00091F9C" w:rsidRDefault="00091F9C"/>
    <w:sectPr w:rsidR="00091F9C">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18836" w14:textId="77777777" w:rsidR="0044546C" w:rsidRDefault="0044546C" w:rsidP="00985B87">
      <w:pPr>
        <w:spacing w:after="0" w:line="240" w:lineRule="auto"/>
      </w:pPr>
      <w:r>
        <w:separator/>
      </w:r>
    </w:p>
  </w:endnote>
  <w:endnote w:type="continuationSeparator" w:id="0">
    <w:p w14:paraId="1362BA72" w14:textId="77777777" w:rsidR="0044546C" w:rsidRDefault="0044546C" w:rsidP="0098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A629F" w14:textId="77777777" w:rsidR="0044546C" w:rsidRDefault="0044546C" w:rsidP="00985B87">
      <w:pPr>
        <w:spacing w:after="0" w:line="240" w:lineRule="auto"/>
      </w:pPr>
      <w:r>
        <w:separator/>
      </w:r>
    </w:p>
  </w:footnote>
  <w:footnote w:type="continuationSeparator" w:id="0">
    <w:p w14:paraId="32751F6F" w14:textId="77777777" w:rsidR="0044546C" w:rsidRDefault="0044546C" w:rsidP="00985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2814782"/>
      <w:docPartObj>
        <w:docPartGallery w:val="Page Numbers (Top of Page)"/>
        <w:docPartUnique/>
      </w:docPartObj>
    </w:sdtPr>
    <w:sdtEndPr>
      <w:rPr>
        <w:noProof/>
      </w:rPr>
    </w:sdtEndPr>
    <w:sdtContent>
      <w:p w14:paraId="5554A92D" w14:textId="71A3C4BC" w:rsidR="00985B87" w:rsidRDefault="00985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B99ECF" w14:textId="77777777" w:rsidR="00985B87" w:rsidRDefault="00985B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145E9"/>
    <w:multiLevelType w:val="hybridMultilevel"/>
    <w:tmpl w:val="8C2C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019B0"/>
    <w:multiLevelType w:val="hybridMultilevel"/>
    <w:tmpl w:val="37BCA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FD0BD1"/>
    <w:multiLevelType w:val="hybridMultilevel"/>
    <w:tmpl w:val="E08E45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46AF797F"/>
    <w:multiLevelType w:val="hybridMultilevel"/>
    <w:tmpl w:val="B296A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0505C9"/>
    <w:multiLevelType w:val="hybridMultilevel"/>
    <w:tmpl w:val="34C2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882C5E"/>
    <w:multiLevelType w:val="hybridMultilevel"/>
    <w:tmpl w:val="B84E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A670A8"/>
    <w:multiLevelType w:val="hybridMultilevel"/>
    <w:tmpl w:val="76006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F9C"/>
    <w:rsid w:val="00001DB3"/>
    <w:rsid w:val="00002668"/>
    <w:rsid w:val="00003F3A"/>
    <w:rsid w:val="00007415"/>
    <w:rsid w:val="00014083"/>
    <w:rsid w:val="00016766"/>
    <w:rsid w:val="00022D3F"/>
    <w:rsid w:val="00023EE0"/>
    <w:rsid w:val="0002493F"/>
    <w:rsid w:val="000311C3"/>
    <w:rsid w:val="0003331C"/>
    <w:rsid w:val="00037B90"/>
    <w:rsid w:val="000406C8"/>
    <w:rsid w:val="0004727E"/>
    <w:rsid w:val="00047548"/>
    <w:rsid w:val="00052E09"/>
    <w:rsid w:val="00053997"/>
    <w:rsid w:val="000552D3"/>
    <w:rsid w:val="00055FA4"/>
    <w:rsid w:val="00061B05"/>
    <w:rsid w:val="00065839"/>
    <w:rsid w:val="000659EB"/>
    <w:rsid w:val="0007244E"/>
    <w:rsid w:val="00073B20"/>
    <w:rsid w:val="00075676"/>
    <w:rsid w:val="0007785B"/>
    <w:rsid w:val="00080E92"/>
    <w:rsid w:val="00082E2A"/>
    <w:rsid w:val="00085E1C"/>
    <w:rsid w:val="00085F67"/>
    <w:rsid w:val="000860F7"/>
    <w:rsid w:val="00087603"/>
    <w:rsid w:val="0009153D"/>
    <w:rsid w:val="000919A8"/>
    <w:rsid w:val="00091E3F"/>
    <w:rsid w:val="00091F9C"/>
    <w:rsid w:val="00097BDD"/>
    <w:rsid w:val="000A05FE"/>
    <w:rsid w:val="000A6A8C"/>
    <w:rsid w:val="000A7957"/>
    <w:rsid w:val="000B0EF2"/>
    <w:rsid w:val="000B1753"/>
    <w:rsid w:val="000B1E77"/>
    <w:rsid w:val="000B5167"/>
    <w:rsid w:val="000B53D3"/>
    <w:rsid w:val="000B5B21"/>
    <w:rsid w:val="000B77CA"/>
    <w:rsid w:val="000C2FE9"/>
    <w:rsid w:val="000C4A2A"/>
    <w:rsid w:val="000D41A5"/>
    <w:rsid w:val="000D7DAE"/>
    <w:rsid w:val="000E1412"/>
    <w:rsid w:val="000E3278"/>
    <w:rsid w:val="000E3B09"/>
    <w:rsid w:val="000E488C"/>
    <w:rsid w:val="000E5E64"/>
    <w:rsid w:val="000E6231"/>
    <w:rsid w:val="00101C10"/>
    <w:rsid w:val="00103FE5"/>
    <w:rsid w:val="00107E66"/>
    <w:rsid w:val="00110812"/>
    <w:rsid w:val="00110BD8"/>
    <w:rsid w:val="00115DC7"/>
    <w:rsid w:val="00117E1C"/>
    <w:rsid w:val="00127848"/>
    <w:rsid w:val="00127879"/>
    <w:rsid w:val="00132FDE"/>
    <w:rsid w:val="00137783"/>
    <w:rsid w:val="00140D67"/>
    <w:rsid w:val="001428DE"/>
    <w:rsid w:val="00145D75"/>
    <w:rsid w:val="001533C9"/>
    <w:rsid w:val="00154C47"/>
    <w:rsid w:val="00161920"/>
    <w:rsid w:val="00163CF0"/>
    <w:rsid w:val="001644E0"/>
    <w:rsid w:val="00164E60"/>
    <w:rsid w:val="00164E9A"/>
    <w:rsid w:val="00164EF5"/>
    <w:rsid w:val="00167457"/>
    <w:rsid w:val="00170F73"/>
    <w:rsid w:val="00185AA6"/>
    <w:rsid w:val="00185DA0"/>
    <w:rsid w:val="00191934"/>
    <w:rsid w:val="001923ED"/>
    <w:rsid w:val="0019263E"/>
    <w:rsid w:val="00194699"/>
    <w:rsid w:val="001A1E66"/>
    <w:rsid w:val="001A5142"/>
    <w:rsid w:val="001A6183"/>
    <w:rsid w:val="001A7910"/>
    <w:rsid w:val="001B0AE5"/>
    <w:rsid w:val="001B2526"/>
    <w:rsid w:val="001B4F11"/>
    <w:rsid w:val="001B5A17"/>
    <w:rsid w:val="001C167B"/>
    <w:rsid w:val="001C3BA3"/>
    <w:rsid w:val="001C4F37"/>
    <w:rsid w:val="001C598D"/>
    <w:rsid w:val="001D1287"/>
    <w:rsid w:val="001D5829"/>
    <w:rsid w:val="001E161F"/>
    <w:rsid w:val="001E17E1"/>
    <w:rsid w:val="001E3C1E"/>
    <w:rsid w:val="001E6C60"/>
    <w:rsid w:val="001E7625"/>
    <w:rsid w:val="001F2198"/>
    <w:rsid w:val="001F219C"/>
    <w:rsid w:val="001F51AA"/>
    <w:rsid w:val="001F5F7E"/>
    <w:rsid w:val="001F7B77"/>
    <w:rsid w:val="002005B5"/>
    <w:rsid w:val="0020483D"/>
    <w:rsid w:val="0020796B"/>
    <w:rsid w:val="00207EE4"/>
    <w:rsid w:val="00211B09"/>
    <w:rsid w:val="00211E90"/>
    <w:rsid w:val="00212720"/>
    <w:rsid w:val="00215CD1"/>
    <w:rsid w:val="0021640A"/>
    <w:rsid w:val="00217AF0"/>
    <w:rsid w:val="002237F9"/>
    <w:rsid w:val="00224C89"/>
    <w:rsid w:val="002305D5"/>
    <w:rsid w:val="00234E04"/>
    <w:rsid w:val="00235A0A"/>
    <w:rsid w:val="00236A8E"/>
    <w:rsid w:val="002407A7"/>
    <w:rsid w:val="00240801"/>
    <w:rsid w:val="0024141B"/>
    <w:rsid w:val="00244CD3"/>
    <w:rsid w:val="00254E56"/>
    <w:rsid w:val="00255CB1"/>
    <w:rsid w:val="00260541"/>
    <w:rsid w:val="00260672"/>
    <w:rsid w:val="00261AE0"/>
    <w:rsid w:val="00271904"/>
    <w:rsid w:val="002721BC"/>
    <w:rsid w:val="00281DA8"/>
    <w:rsid w:val="002841AB"/>
    <w:rsid w:val="002841B1"/>
    <w:rsid w:val="00285EBE"/>
    <w:rsid w:val="00287227"/>
    <w:rsid w:val="002913BB"/>
    <w:rsid w:val="002A4D07"/>
    <w:rsid w:val="002A5AA7"/>
    <w:rsid w:val="002A67D6"/>
    <w:rsid w:val="002B0F09"/>
    <w:rsid w:val="002B409E"/>
    <w:rsid w:val="002B48C2"/>
    <w:rsid w:val="002B71A8"/>
    <w:rsid w:val="002C2A27"/>
    <w:rsid w:val="002C361E"/>
    <w:rsid w:val="002C3752"/>
    <w:rsid w:val="002C4AE0"/>
    <w:rsid w:val="002D65AF"/>
    <w:rsid w:val="002E0135"/>
    <w:rsid w:val="002E2287"/>
    <w:rsid w:val="002E50FD"/>
    <w:rsid w:val="002E69A7"/>
    <w:rsid w:val="002F2BF5"/>
    <w:rsid w:val="002F387F"/>
    <w:rsid w:val="002F6B5A"/>
    <w:rsid w:val="00304A60"/>
    <w:rsid w:val="003120E4"/>
    <w:rsid w:val="003164E9"/>
    <w:rsid w:val="0032261A"/>
    <w:rsid w:val="00322B72"/>
    <w:rsid w:val="00333091"/>
    <w:rsid w:val="00334E25"/>
    <w:rsid w:val="003352E8"/>
    <w:rsid w:val="00335836"/>
    <w:rsid w:val="00336341"/>
    <w:rsid w:val="00340AE3"/>
    <w:rsid w:val="003471DA"/>
    <w:rsid w:val="00353638"/>
    <w:rsid w:val="00353B27"/>
    <w:rsid w:val="003541B4"/>
    <w:rsid w:val="003562FC"/>
    <w:rsid w:val="00357E69"/>
    <w:rsid w:val="00360285"/>
    <w:rsid w:val="0036055B"/>
    <w:rsid w:val="003647DA"/>
    <w:rsid w:val="00367A91"/>
    <w:rsid w:val="00370FE1"/>
    <w:rsid w:val="0037401A"/>
    <w:rsid w:val="0037600D"/>
    <w:rsid w:val="00381CF2"/>
    <w:rsid w:val="00386F4A"/>
    <w:rsid w:val="00395A3B"/>
    <w:rsid w:val="003A2E9E"/>
    <w:rsid w:val="003A32E6"/>
    <w:rsid w:val="003B3300"/>
    <w:rsid w:val="003B3EB4"/>
    <w:rsid w:val="003B49A2"/>
    <w:rsid w:val="003C0C27"/>
    <w:rsid w:val="003C775A"/>
    <w:rsid w:val="003C7EB7"/>
    <w:rsid w:val="003D12B2"/>
    <w:rsid w:val="003D4660"/>
    <w:rsid w:val="003D5F26"/>
    <w:rsid w:val="003D6C79"/>
    <w:rsid w:val="003E2D16"/>
    <w:rsid w:val="003E521F"/>
    <w:rsid w:val="003F132C"/>
    <w:rsid w:val="003F5A4C"/>
    <w:rsid w:val="003F70BB"/>
    <w:rsid w:val="004020E2"/>
    <w:rsid w:val="00403674"/>
    <w:rsid w:val="004048AA"/>
    <w:rsid w:val="00406DC2"/>
    <w:rsid w:val="004113CE"/>
    <w:rsid w:val="00411B09"/>
    <w:rsid w:val="00412697"/>
    <w:rsid w:val="004128AD"/>
    <w:rsid w:val="00413B4B"/>
    <w:rsid w:val="00415BA6"/>
    <w:rsid w:val="00416A1D"/>
    <w:rsid w:val="00416A5C"/>
    <w:rsid w:val="00421731"/>
    <w:rsid w:val="00424C1D"/>
    <w:rsid w:val="0043011E"/>
    <w:rsid w:val="004314F9"/>
    <w:rsid w:val="004316D6"/>
    <w:rsid w:val="00431861"/>
    <w:rsid w:val="0043400C"/>
    <w:rsid w:val="00435204"/>
    <w:rsid w:val="00435920"/>
    <w:rsid w:val="0044029E"/>
    <w:rsid w:val="00442424"/>
    <w:rsid w:val="0044546C"/>
    <w:rsid w:val="00451888"/>
    <w:rsid w:val="00454ABE"/>
    <w:rsid w:val="00461CEC"/>
    <w:rsid w:val="004644E6"/>
    <w:rsid w:val="00467361"/>
    <w:rsid w:val="004703CD"/>
    <w:rsid w:val="00493746"/>
    <w:rsid w:val="00494C9A"/>
    <w:rsid w:val="004A1ECE"/>
    <w:rsid w:val="004A2E04"/>
    <w:rsid w:val="004A3E80"/>
    <w:rsid w:val="004A7F3C"/>
    <w:rsid w:val="004B0D0E"/>
    <w:rsid w:val="004B1A15"/>
    <w:rsid w:val="004B1C24"/>
    <w:rsid w:val="004B555A"/>
    <w:rsid w:val="004B6F3D"/>
    <w:rsid w:val="004C17D1"/>
    <w:rsid w:val="004C3169"/>
    <w:rsid w:val="004C5C99"/>
    <w:rsid w:val="004C7C62"/>
    <w:rsid w:val="004D253D"/>
    <w:rsid w:val="004D3BE5"/>
    <w:rsid w:val="004D4CB1"/>
    <w:rsid w:val="004D5479"/>
    <w:rsid w:val="004D7E57"/>
    <w:rsid w:val="004E43FC"/>
    <w:rsid w:val="004E445A"/>
    <w:rsid w:val="004E5E0E"/>
    <w:rsid w:val="004E6F76"/>
    <w:rsid w:val="004E760C"/>
    <w:rsid w:val="004F1021"/>
    <w:rsid w:val="004F4B98"/>
    <w:rsid w:val="004F5A9F"/>
    <w:rsid w:val="00504672"/>
    <w:rsid w:val="005058AC"/>
    <w:rsid w:val="00517FC4"/>
    <w:rsid w:val="00520BB1"/>
    <w:rsid w:val="005316A3"/>
    <w:rsid w:val="005331F7"/>
    <w:rsid w:val="00534BBB"/>
    <w:rsid w:val="005359BA"/>
    <w:rsid w:val="00536316"/>
    <w:rsid w:val="00537B45"/>
    <w:rsid w:val="0055088B"/>
    <w:rsid w:val="005548EA"/>
    <w:rsid w:val="0055621A"/>
    <w:rsid w:val="00556281"/>
    <w:rsid w:val="00556670"/>
    <w:rsid w:val="005621F2"/>
    <w:rsid w:val="00565222"/>
    <w:rsid w:val="0056780F"/>
    <w:rsid w:val="005721D3"/>
    <w:rsid w:val="00573277"/>
    <w:rsid w:val="0058644A"/>
    <w:rsid w:val="00586DDF"/>
    <w:rsid w:val="00591071"/>
    <w:rsid w:val="00592FD1"/>
    <w:rsid w:val="00593CB9"/>
    <w:rsid w:val="00594A21"/>
    <w:rsid w:val="00596A5F"/>
    <w:rsid w:val="00597B2D"/>
    <w:rsid w:val="005B008C"/>
    <w:rsid w:val="005B03E1"/>
    <w:rsid w:val="005C0464"/>
    <w:rsid w:val="005C4A4B"/>
    <w:rsid w:val="005C4FC3"/>
    <w:rsid w:val="005C7C04"/>
    <w:rsid w:val="005D0ADC"/>
    <w:rsid w:val="005D1D3E"/>
    <w:rsid w:val="005E066C"/>
    <w:rsid w:val="005E2271"/>
    <w:rsid w:val="005E4A4F"/>
    <w:rsid w:val="005E5B35"/>
    <w:rsid w:val="005E76E5"/>
    <w:rsid w:val="005F0062"/>
    <w:rsid w:val="00611AB7"/>
    <w:rsid w:val="006202A7"/>
    <w:rsid w:val="00626D19"/>
    <w:rsid w:val="00634B3E"/>
    <w:rsid w:val="006351B7"/>
    <w:rsid w:val="00641152"/>
    <w:rsid w:val="006523F9"/>
    <w:rsid w:val="00653C12"/>
    <w:rsid w:val="00654D2F"/>
    <w:rsid w:val="00673814"/>
    <w:rsid w:val="006808EA"/>
    <w:rsid w:val="00682C41"/>
    <w:rsid w:val="006838EA"/>
    <w:rsid w:val="00687D0C"/>
    <w:rsid w:val="00687E72"/>
    <w:rsid w:val="00694286"/>
    <w:rsid w:val="006A24C7"/>
    <w:rsid w:val="006A53F0"/>
    <w:rsid w:val="006A7A91"/>
    <w:rsid w:val="006B045D"/>
    <w:rsid w:val="006B1BB9"/>
    <w:rsid w:val="006B1FCC"/>
    <w:rsid w:val="006B221E"/>
    <w:rsid w:val="006C03B5"/>
    <w:rsid w:val="006C3351"/>
    <w:rsid w:val="006C7E35"/>
    <w:rsid w:val="006D25F7"/>
    <w:rsid w:val="006D5540"/>
    <w:rsid w:val="006D5558"/>
    <w:rsid w:val="006D702A"/>
    <w:rsid w:val="006E193A"/>
    <w:rsid w:val="006E60EC"/>
    <w:rsid w:val="006F1CBA"/>
    <w:rsid w:val="006F31B3"/>
    <w:rsid w:val="006F4457"/>
    <w:rsid w:val="006F6C07"/>
    <w:rsid w:val="00701432"/>
    <w:rsid w:val="0071225D"/>
    <w:rsid w:val="00713EDD"/>
    <w:rsid w:val="007245AA"/>
    <w:rsid w:val="00724D58"/>
    <w:rsid w:val="00725437"/>
    <w:rsid w:val="007256C2"/>
    <w:rsid w:val="0072652A"/>
    <w:rsid w:val="00727A81"/>
    <w:rsid w:val="007307E1"/>
    <w:rsid w:val="00732E08"/>
    <w:rsid w:val="00732E4E"/>
    <w:rsid w:val="007366C2"/>
    <w:rsid w:val="00740560"/>
    <w:rsid w:val="00750FD6"/>
    <w:rsid w:val="00754BB2"/>
    <w:rsid w:val="00755558"/>
    <w:rsid w:val="0075603A"/>
    <w:rsid w:val="0075760F"/>
    <w:rsid w:val="007671C0"/>
    <w:rsid w:val="00767A46"/>
    <w:rsid w:val="0077063A"/>
    <w:rsid w:val="00774269"/>
    <w:rsid w:val="007753EC"/>
    <w:rsid w:val="007758B8"/>
    <w:rsid w:val="0078434B"/>
    <w:rsid w:val="007855C5"/>
    <w:rsid w:val="007A1A0E"/>
    <w:rsid w:val="007A7C8D"/>
    <w:rsid w:val="007B1FCF"/>
    <w:rsid w:val="007B205C"/>
    <w:rsid w:val="007C5109"/>
    <w:rsid w:val="007C6DD4"/>
    <w:rsid w:val="007C75B5"/>
    <w:rsid w:val="007C7FAA"/>
    <w:rsid w:val="007D174C"/>
    <w:rsid w:val="007D5213"/>
    <w:rsid w:val="007D7BB3"/>
    <w:rsid w:val="007E099A"/>
    <w:rsid w:val="007E17CF"/>
    <w:rsid w:val="007E1925"/>
    <w:rsid w:val="007E5707"/>
    <w:rsid w:val="007E6641"/>
    <w:rsid w:val="007F3FB3"/>
    <w:rsid w:val="00801400"/>
    <w:rsid w:val="008015D7"/>
    <w:rsid w:val="008209AC"/>
    <w:rsid w:val="00825A8E"/>
    <w:rsid w:val="00831804"/>
    <w:rsid w:val="00832D57"/>
    <w:rsid w:val="00834B29"/>
    <w:rsid w:val="008352FE"/>
    <w:rsid w:val="00837E47"/>
    <w:rsid w:val="008411FF"/>
    <w:rsid w:val="00847CCC"/>
    <w:rsid w:val="008604C0"/>
    <w:rsid w:val="008618E0"/>
    <w:rsid w:val="008626F6"/>
    <w:rsid w:val="00862BFF"/>
    <w:rsid w:val="008646FA"/>
    <w:rsid w:val="00865BB4"/>
    <w:rsid w:val="00866C9D"/>
    <w:rsid w:val="00866EB9"/>
    <w:rsid w:val="00867AA7"/>
    <w:rsid w:val="008754E4"/>
    <w:rsid w:val="00880B1E"/>
    <w:rsid w:val="0088102A"/>
    <w:rsid w:val="00886DEA"/>
    <w:rsid w:val="00887B9E"/>
    <w:rsid w:val="00890884"/>
    <w:rsid w:val="00897903"/>
    <w:rsid w:val="008A367A"/>
    <w:rsid w:val="008A7DB7"/>
    <w:rsid w:val="008B2A88"/>
    <w:rsid w:val="008B5EF9"/>
    <w:rsid w:val="008B6538"/>
    <w:rsid w:val="008C5A4E"/>
    <w:rsid w:val="008C72DC"/>
    <w:rsid w:val="008E4C85"/>
    <w:rsid w:val="008F7791"/>
    <w:rsid w:val="00900C62"/>
    <w:rsid w:val="0090499B"/>
    <w:rsid w:val="00904B39"/>
    <w:rsid w:val="00913F3F"/>
    <w:rsid w:val="0091715A"/>
    <w:rsid w:val="009173E6"/>
    <w:rsid w:val="00917E1A"/>
    <w:rsid w:val="00917E77"/>
    <w:rsid w:val="00920F94"/>
    <w:rsid w:val="00927284"/>
    <w:rsid w:val="0093170D"/>
    <w:rsid w:val="0093489D"/>
    <w:rsid w:val="0094175A"/>
    <w:rsid w:val="00943B01"/>
    <w:rsid w:val="0094742A"/>
    <w:rsid w:val="00947A62"/>
    <w:rsid w:val="00951855"/>
    <w:rsid w:val="00953304"/>
    <w:rsid w:val="00956C21"/>
    <w:rsid w:val="00960AA0"/>
    <w:rsid w:val="0096293A"/>
    <w:rsid w:val="00972918"/>
    <w:rsid w:val="00972F1F"/>
    <w:rsid w:val="00974623"/>
    <w:rsid w:val="00976EDC"/>
    <w:rsid w:val="00985B87"/>
    <w:rsid w:val="00991F06"/>
    <w:rsid w:val="00992790"/>
    <w:rsid w:val="009942B7"/>
    <w:rsid w:val="009946E5"/>
    <w:rsid w:val="009A1DC2"/>
    <w:rsid w:val="009A2941"/>
    <w:rsid w:val="009A3B46"/>
    <w:rsid w:val="009A5A20"/>
    <w:rsid w:val="009B00C9"/>
    <w:rsid w:val="009B13CC"/>
    <w:rsid w:val="009B37F5"/>
    <w:rsid w:val="009B68C3"/>
    <w:rsid w:val="009D1A6E"/>
    <w:rsid w:val="009D54DA"/>
    <w:rsid w:val="009D6063"/>
    <w:rsid w:val="009E1F57"/>
    <w:rsid w:val="009E3408"/>
    <w:rsid w:val="009F407A"/>
    <w:rsid w:val="009F7B54"/>
    <w:rsid w:val="00A0306F"/>
    <w:rsid w:val="00A03B12"/>
    <w:rsid w:val="00A07BF8"/>
    <w:rsid w:val="00A14413"/>
    <w:rsid w:val="00A14775"/>
    <w:rsid w:val="00A20B6D"/>
    <w:rsid w:val="00A23D41"/>
    <w:rsid w:val="00A24061"/>
    <w:rsid w:val="00A2618C"/>
    <w:rsid w:val="00A2723C"/>
    <w:rsid w:val="00A27502"/>
    <w:rsid w:val="00A27BEB"/>
    <w:rsid w:val="00A351C8"/>
    <w:rsid w:val="00A41D74"/>
    <w:rsid w:val="00A422D4"/>
    <w:rsid w:val="00A42496"/>
    <w:rsid w:val="00A429AE"/>
    <w:rsid w:val="00A44583"/>
    <w:rsid w:val="00A474A0"/>
    <w:rsid w:val="00A47861"/>
    <w:rsid w:val="00A53E47"/>
    <w:rsid w:val="00A55C1F"/>
    <w:rsid w:val="00A60680"/>
    <w:rsid w:val="00A636DF"/>
    <w:rsid w:val="00A64743"/>
    <w:rsid w:val="00A67BBC"/>
    <w:rsid w:val="00A72F3F"/>
    <w:rsid w:val="00A74EE9"/>
    <w:rsid w:val="00A761D0"/>
    <w:rsid w:val="00A810E8"/>
    <w:rsid w:val="00A8145A"/>
    <w:rsid w:val="00A83B0C"/>
    <w:rsid w:val="00A84C55"/>
    <w:rsid w:val="00A84F6D"/>
    <w:rsid w:val="00A87718"/>
    <w:rsid w:val="00A90BE1"/>
    <w:rsid w:val="00A92E68"/>
    <w:rsid w:val="00A942BF"/>
    <w:rsid w:val="00AA3402"/>
    <w:rsid w:val="00AA34D4"/>
    <w:rsid w:val="00AA3A99"/>
    <w:rsid w:val="00AA60FD"/>
    <w:rsid w:val="00AB39AA"/>
    <w:rsid w:val="00AB45B1"/>
    <w:rsid w:val="00AB4E12"/>
    <w:rsid w:val="00AC332E"/>
    <w:rsid w:val="00AC448C"/>
    <w:rsid w:val="00AC6391"/>
    <w:rsid w:val="00AC7182"/>
    <w:rsid w:val="00AD0CE2"/>
    <w:rsid w:val="00AD5570"/>
    <w:rsid w:val="00AD6656"/>
    <w:rsid w:val="00AD7DAA"/>
    <w:rsid w:val="00AE2F63"/>
    <w:rsid w:val="00AE42EC"/>
    <w:rsid w:val="00AE4A7E"/>
    <w:rsid w:val="00B0161C"/>
    <w:rsid w:val="00B147A3"/>
    <w:rsid w:val="00B15D25"/>
    <w:rsid w:val="00B17ED1"/>
    <w:rsid w:val="00B3090E"/>
    <w:rsid w:val="00B30BD8"/>
    <w:rsid w:val="00B343E8"/>
    <w:rsid w:val="00B3523E"/>
    <w:rsid w:val="00B37158"/>
    <w:rsid w:val="00B41672"/>
    <w:rsid w:val="00B45409"/>
    <w:rsid w:val="00B46E5A"/>
    <w:rsid w:val="00B52870"/>
    <w:rsid w:val="00B54AC5"/>
    <w:rsid w:val="00B64686"/>
    <w:rsid w:val="00B651A4"/>
    <w:rsid w:val="00B720C6"/>
    <w:rsid w:val="00B72E2A"/>
    <w:rsid w:val="00B767E5"/>
    <w:rsid w:val="00B80443"/>
    <w:rsid w:val="00B828BF"/>
    <w:rsid w:val="00B85D7E"/>
    <w:rsid w:val="00B86EEC"/>
    <w:rsid w:val="00B906A7"/>
    <w:rsid w:val="00B94372"/>
    <w:rsid w:val="00B94F83"/>
    <w:rsid w:val="00B95E2B"/>
    <w:rsid w:val="00BA2C68"/>
    <w:rsid w:val="00BA489F"/>
    <w:rsid w:val="00BA6CC3"/>
    <w:rsid w:val="00BB273A"/>
    <w:rsid w:val="00BB7DF6"/>
    <w:rsid w:val="00BC1471"/>
    <w:rsid w:val="00BC238B"/>
    <w:rsid w:val="00BC4F2A"/>
    <w:rsid w:val="00BC7A7A"/>
    <w:rsid w:val="00BD1C8A"/>
    <w:rsid w:val="00BD3793"/>
    <w:rsid w:val="00BD3906"/>
    <w:rsid w:val="00BD4D41"/>
    <w:rsid w:val="00BD51D4"/>
    <w:rsid w:val="00BE4C1F"/>
    <w:rsid w:val="00BE4D1E"/>
    <w:rsid w:val="00BF0819"/>
    <w:rsid w:val="00BF09DB"/>
    <w:rsid w:val="00BF33E5"/>
    <w:rsid w:val="00C03B66"/>
    <w:rsid w:val="00C06C9D"/>
    <w:rsid w:val="00C14C6C"/>
    <w:rsid w:val="00C17C82"/>
    <w:rsid w:val="00C20F6C"/>
    <w:rsid w:val="00C22345"/>
    <w:rsid w:val="00C22D9D"/>
    <w:rsid w:val="00C26CE2"/>
    <w:rsid w:val="00C43230"/>
    <w:rsid w:val="00C43917"/>
    <w:rsid w:val="00C44549"/>
    <w:rsid w:val="00C45F30"/>
    <w:rsid w:val="00C53547"/>
    <w:rsid w:val="00C5648A"/>
    <w:rsid w:val="00C57987"/>
    <w:rsid w:val="00C61F2C"/>
    <w:rsid w:val="00C63181"/>
    <w:rsid w:val="00C6592E"/>
    <w:rsid w:val="00C72EE1"/>
    <w:rsid w:val="00C73098"/>
    <w:rsid w:val="00C73FA0"/>
    <w:rsid w:val="00C80EBC"/>
    <w:rsid w:val="00C81082"/>
    <w:rsid w:val="00C8210F"/>
    <w:rsid w:val="00C84BC5"/>
    <w:rsid w:val="00C861E9"/>
    <w:rsid w:val="00C90742"/>
    <w:rsid w:val="00C92A9A"/>
    <w:rsid w:val="00C9331E"/>
    <w:rsid w:val="00C94CD1"/>
    <w:rsid w:val="00C95808"/>
    <w:rsid w:val="00CA1CA3"/>
    <w:rsid w:val="00CA25DE"/>
    <w:rsid w:val="00CB12F1"/>
    <w:rsid w:val="00CB1CC0"/>
    <w:rsid w:val="00CB4831"/>
    <w:rsid w:val="00CB60B9"/>
    <w:rsid w:val="00CC229B"/>
    <w:rsid w:val="00CC6FB5"/>
    <w:rsid w:val="00CD35DE"/>
    <w:rsid w:val="00CE0914"/>
    <w:rsid w:val="00CE356D"/>
    <w:rsid w:val="00CE5AC7"/>
    <w:rsid w:val="00CE69C4"/>
    <w:rsid w:val="00CE70C7"/>
    <w:rsid w:val="00CF227A"/>
    <w:rsid w:val="00D115E9"/>
    <w:rsid w:val="00D11A5D"/>
    <w:rsid w:val="00D12EF8"/>
    <w:rsid w:val="00D22AEA"/>
    <w:rsid w:val="00D22D46"/>
    <w:rsid w:val="00D24D02"/>
    <w:rsid w:val="00D25CC0"/>
    <w:rsid w:val="00D401A2"/>
    <w:rsid w:val="00D60588"/>
    <w:rsid w:val="00D641B1"/>
    <w:rsid w:val="00D668CF"/>
    <w:rsid w:val="00D70F01"/>
    <w:rsid w:val="00D7374E"/>
    <w:rsid w:val="00D747B2"/>
    <w:rsid w:val="00D83155"/>
    <w:rsid w:val="00D8369A"/>
    <w:rsid w:val="00D85442"/>
    <w:rsid w:val="00D855F1"/>
    <w:rsid w:val="00D85959"/>
    <w:rsid w:val="00D91281"/>
    <w:rsid w:val="00D97879"/>
    <w:rsid w:val="00DB7A0A"/>
    <w:rsid w:val="00DC0A62"/>
    <w:rsid w:val="00DC3957"/>
    <w:rsid w:val="00DC458F"/>
    <w:rsid w:val="00DD1BC3"/>
    <w:rsid w:val="00DD4FE9"/>
    <w:rsid w:val="00DE5960"/>
    <w:rsid w:val="00DE60E6"/>
    <w:rsid w:val="00DE68C9"/>
    <w:rsid w:val="00DF3A57"/>
    <w:rsid w:val="00DF6EA1"/>
    <w:rsid w:val="00DF7FFE"/>
    <w:rsid w:val="00E01807"/>
    <w:rsid w:val="00E02B32"/>
    <w:rsid w:val="00E03A61"/>
    <w:rsid w:val="00E1352A"/>
    <w:rsid w:val="00E1450D"/>
    <w:rsid w:val="00E1520A"/>
    <w:rsid w:val="00E158DE"/>
    <w:rsid w:val="00E175AC"/>
    <w:rsid w:val="00E20419"/>
    <w:rsid w:val="00E21302"/>
    <w:rsid w:val="00E21398"/>
    <w:rsid w:val="00E220F6"/>
    <w:rsid w:val="00E22638"/>
    <w:rsid w:val="00E23715"/>
    <w:rsid w:val="00E241A8"/>
    <w:rsid w:val="00E24942"/>
    <w:rsid w:val="00E27F80"/>
    <w:rsid w:val="00E31E2A"/>
    <w:rsid w:val="00E34379"/>
    <w:rsid w:val="00E35FFB"/>
    <w:rsid w:val="00E420C3"/>
    <w:rsid w:val="00E42E4B"/>
    <w:rsid w:val="00E47159"/>
    <w:rsid w:val="00E47D1E"/>
    <w:rsid w:val="00E52C2C"/>
    <w:rsid w:val="00E54E8E"/>
    <w:rsid w:val="00E556F9"/>
    <w:rsid w:val="00E608BD"/>
    <w:rsid w:val="00E64102"/>
    <w:rsid w:val="00E645E3"/>
    <w:rsid w:val="00E83E54"/>
    <w:rsid w:val="00E85DB0"/>
    <w:rsid w:val="00E86D20"/>
    <w:rsid w:val="00E9473D"/>
    <w:rsid w:val="00E95E53"/>
    <w:rsid w:val="00EA031B"/>
    <w:rsid w:val="00EA4647"/>
    <w:rsid w:val="00EA65E2"/>
    <w:rsid w:val="00EB3BAF"/>
    <w:rsid w:val="00EB541C"/>
    <w:rsid w:val="00EC357D"/>
    <w:rsid w:val="00EC7BA8"/>
    <w:rsid w:val="00ED179D"/>
    <w:rsid w:val="00ED3F9D"/>
    <w:rsid w:val="00ED6576"/>
    <w:rsid w:val="00EE0DC6"/>
    <w:rsid w:val="00EE47AD"/>
    <w:rsid w:val="00EF0E06"/>
    <w:rsid w:val="00F00E71"/>
    <w:rsid w:val="00F021E2"/>
    <w:rsid w:val="00F034D6"/>
    <w:rsid w:val="00F03CA4"/>
    <w:rsid w:val="00F07E3A"/>
    <w:rsid w:val="00F103C1"/>
    <w:rsid w:val="00F149E1"/>
    <w:rsid w:val="00F15C7B"/>
    <w:rsid w:val="00F206B2"/>
    <w:rsid w:val="00F2109C"/>
    <w:rsid w:val="00F2162E"/>
    <w:rsid w:val="00F275EC"/>
    <w:rsid w:val="00F328C2"/>
    <w:rsid w:val="00F337F2"/>
    <w:rsid w:val="00F45B5B"/>
    <w:rsid w:val="00F4789E"/>
    <w:rsid w:val="00F518EA"/>
    <w:rsid w:val="00F52BD9"/>
    <w:rsid w:val="00F54DC6"/>
    <w:rsid w:val="00F61545"/>
    <w:rsid w:val="00F62495"/>
    <w:rsid w:val="00F63B15"/>
    <w:rsid w:val="00F77186"/>
    <w:rsid w:val="00F7719E"/>
    <w:rsid w:val="00F8211B"/>
    <w:rsid w:val="00F86235"/>
    <w:rsid w:val="00F90ECC"/>
    <w:rsid w:val="00F9459D"/>
    <w:rsid w:val="00F960FF"/>
    <w:rsid w:val="00FA002C"/>
    <w:rsid w:val="00FA2C20"/>
    <w:rsid w:val="00FA46DC"/>
    <w:rsid w:val="00FA668A"/>
    <w:rsid w:val="00FB40A9"/>
    <w:rsid w:val="00FC072C"/>
    <w:rsid w:val="00FC0E63"/>
    <w:rsid w:val="00FC1ADC"/>
    <w:rsid w:val="00FC2F58"/>
    <w:rsid w:val="00FC6419"/>
    <w:rsid w:val="00FD32B7"/>
    <w:rsid w:val="00FD57FF"/>
    <w:rsid w:val="00FD6E08"/>
    <w:rsid w:val="00FE3DA0"/>
    <w:rsid w:val="00FF552F"/>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8DB2B"/>
  <w15:chartTrackingRefBased/>
  <w15:docId w15:val="{92408DB5-6AED-4810-B0AA-356E04536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F9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F9C"/>
    <w:pPr>
      <w:ind w:left="720"/>
      <w:contextualSpacing/>
    </w:pPr>
  </w:style>
  <w:style w:type="paragraph" w:styleId="Footer">
    <w:name w:val="footer"/>
    <w:basedOn w:val="Normal"/>
    <w:link w:val="FooterChar"/>
    <w:uiPriority w:val="99"/>
    <w:unhideWhenUsed/>
    <w:rsid w:val="00985B87"/>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985B87"/>
    <w:rPr>
      <w:rFonts w:eastAsiaTheme="minorEastAsia" w:cs="Times New Roman"/>
    </w:rPr>
  </w:style>
  <w:style w:type="paragraph" w:styleId="Header">
    <w:name w:val="header"/>
    <w:basedOn w:val="Normal"/>
    <w:link w:val="HeaderChar"/>
    <w:uiPriority w:val="99"/>
    <w:unhideWhenUsed/>
    <w:rsid w:val="0098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6950">
      <w:bodyDiv w:val="1"/>
      <w:marLeft w:val="0"/>
      <w:marRight w:val="0"/>
      <w:marTop w:val="0"/>
      <w:marBottom w:val="0"/>
      <w:divBdr>
        <w:top w:val="none" w:sz="0" w:space="0" w:color="auto"/>
        <w:left w:val="none" w:sz="0" w:space="0" w:color="auto"/>
        <w:bottom w:val="none" w:sz="0" w:space="0" w:color="auto"/>
        <w:right w:val="none" w:sz="0" w:space="0" w:color="auto"/>
      </w:divBdr>
    </w:div>
    <w:div w:id="315767943">
      <w:bodyDiv w:val="1"/>
      <w:marLeft w:val="0"/>
      <w:marRight w:val="0"/>
      <w:marTop w:val="0"/>
      <w:marBottom w:val="0"/>
      <w:divBdr>
        <w:top w:val="none" w:sz="0" w:space="0" w:color="auto"/>
        <w:left w:val="none" w:sz="0" w:space="0" w:color="auto"/>
        <w:bottom w:val="none" w:sz="0" w:space="0" w:color="auto"/>
        <w:right w:val="none" w:sz="0" w:space="0" w:color="auto"/>
      </w:divBdr>
    </w:div>
    <w:div w:id="508327574">
      <w:bodyDiv w:val="1"/>
      <w:marLeft w:val="0"/>
      <w:marRight w:val="0"/>
      <w:marTop w:val="0"/>
      <w:marBottom w:val="0"/>
      <w:divBdr>
        <w:top w:val="none" w:sz="0" w:space="0" w:color="auto"/>
        <w:left w:val="none" w:sz="0" w:space="0" w:color="auto"/>
        <w:bottom w:val="none" w:sz="0" w:space="0" w:color="auto"/>
        <w:right w:val="none" w:sz="0" w:space="0" w:color="auto"/>
      </w:divBdr>
    </w:div>
    <w:div w:id="582296933">
      <w:bodyDiv w:val="1"/>
      <w:marLeft w:val="0"/>
      <w:marRight w:val="0"/>
      <w:marTop w:val="0"/>
      <w:marBottom w:val="0"/>
      <w:divBdr>
        <w:top w:val="none" w:sz="0" w:space="0" w:color="auto"/>
        <w:left w:val="none" w:sz="0" w:space="0" w:color="auto"/>
        <w:bottom w:val="none" w:sz="0" w:space="0" w:color="auto"/>
        <w:right w:val="none" w:sz="0" w:space="0" w:color="auto"/>
      </w:divBdr>
    </w:div>
    <w:div w:id="663237794">
      <w:bodyDiv w:val="1"/>
      <w:marLeft w:val="0"/>
      <w:marRight w:val="0"/>
      <w:marTop w:val="0"/>
      <w:marBottom w:val="0"/>
      <w:divBdr>
        <w:top w:val="none" w:sz="0" w:space="0" w:color="auto"/>
        <w:left w:val="none" w:sz="0" w:space="0" w:color="auto"/>
        <w:bottom w:val="none" w:sz="0" w:space="0" w:color="auto"/>
        <w:right w:val="none" w:sz="0" w:space="0" w:color="auto"/>
      </w:divBdr>
    </w:div>
    <w:div w:id="1004942882">
      <w:bodyDiv w:val="1"/>
      <w:marLeft w:val="0"/>
      <w:marRight w:val="0"/>
      <w:marTop w:val="0"/>
      <w:marBottom w:val="0"/>
      <w:divBdr>
        <w:top w:val="none" w:sz="0" w:space="0" w:color="auto"/>
        <w:left w:val="none" w:sz="0" w:space="0" w:color="auto"/>
        <w:bottom w:val="none" w:sz="0" w:space="0" w:color="auto"/>
        <w:right w:val="none" w:sz="0" w:space="0" w:color="auto"/>
      </w:divBdr>
    </w:div>
    <w:div w:id="1286084137">
      <w:bodyDiv w:val="1"/>
      <w:marLeft w:val="0"/>
      <w:marRight w:val="0"/>
      <w:marTop w:val="0"/>
      <w:marBottom w:val="0"/>
      <w:divBdr>
        <w:top w:val="none" w:sz="0" w:space="0" w:color="auto"/>
        <w:left w:val="none" w:sz="0" w:space="0" w:color="auto"/>
        <w:bottom w:val="none" w:sz="0" w:space="0" w:color="auto"/>
        <w:right w:val="none" w:sz="0" w:space="0" w:color="auto"/>
      </w:divBdr>
    </w:div>
    <w:div w:id="1297955793">
      <w:bodyDiv w:val="1"/>
      <w:marLeft w:val="0"/>
      <w:marRight w:val="0"/>
      <w:marTop w:val="0"/>
      <w:marBottom w:val="0"/>
      <w:divBdr>
        <w:top w:val="none" w:sz="0" w:space="0" w:color="auto"/>
        <w:left w:val="none" w:sz="0" w:space="0" w:color="auto"/>
        <w:bottom w:val="none" w:sz="0" w:space="0" w:color="auto"/>
        <w:right w:val="none" w:sz="0" w:space="0" w:color="auto"/>
      </w:divBdr>
    </w:div>
    <w:div w:id="1500342845">
      <w:bodyDiv w:val="1"/>
      <w:marLeft w:val="0"/>
      <w:marRight w:val="0"/>
      <w:marTop w:val="0"/>
      <w:marBottom w:val="0"/>
      <w:divBdr>
        <w:top w:val="none" w:sz="0" w:space="0" w:color="auto"/>
        <w:left w:val="none" w:sz="0" w:space="0" w:color="auto"/>
        <w:bottom w:val="none" w:sz="0" w:space="0" w:color="auto"/>
        <w:right w:val="none" w:sz="0" w:space="0" w:color="auto"/>
      </w:divBdr>
    </w:div>
    <w:div w:id="160341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5B0B0-8A81-4584-94FD-2A5C95DB2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27</Pages>
  <Words>3752</Words>
  <Characters>21388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Smetana</dc:creator>
  <cp:keywords/>
  <dc:description/>
  <cp:lastModifiedBy>Dan Smetana</cp:lastModifiedBy>
  <cp:revision>741</cp:revision>
  <dcterms:created xsi:type="dcterms:W3CDTF">2020-10-20T01:52:00Z</dcterms:created>
  <dcterms:modified xsi:type="dcterms:W3CDTF">2020-10-24T15:31:00Z</dcterms:modified>
</cp:coreProperties>
</file>