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Freelance Website and Software Development Agreement</w:t>
      </w:r>
    </w:p>
    <w:p>
      <w:r>
        <w:t>This agreement sets the general terms for the website or software project described in Schedule A. Complete the bracketed fields, attach a project-specific Statement of Work, and have both parties sign before work begins.</w:t>
      </w:r>
    </w:p>
    <w:tbl>
      <w:tblPr>
        <w:tblW w:type="auto" w:w="0"/>
        <w:jc w:val="center"/>
        <w:tblLook w:firstColumn="1" w:firstRow="1" w:lastColumn="0" w:lastRow="0" w:noHBand="0" w:noVBand="1" w:val="04A0"/>
      </w:tblPr>
      <w:tblGrid>
        <w:gridCol w:w="2736"/>
        <w:gridCol w:w="6840"/>
      </w:tblGrid>
      <w:tr>
        <w:tc>
          <w:tcPr>
            <w:tcW w:type="dxa" w:w="2736"/>
            <w:vAlign w:val="center"/>
            <w:tcBorders>
              <w:top w:val="single" w:color="D9D9D9" w:sz="4"/>
              <w:left w:val="single" w:color="D9D9D9" w:sz="4"/>
              <w:bottom w:val="single" w:color="D9D9D9" w:sz="4"/>
              <w:right w:val="single" w:color="D9D9D9" w:sz="4"/>
            </w:tcBorders>
            <w:tcMar>
              <w:top w:w="100" w:type="dxa"/>
              <w:left w:w="100" w:type="dxa"/>
              <w:bottom w:w="100" w:type="dxa"/>
              <w:right w:w="100" w:type="dxa"/>
            </w:tcMar>
            <w:shd w:fill="E9EEF2"/>
          </w:tcPr>
          <w:p>
            <w:pPr>
              <w:spacing w:after="0"/>
            </w:pPr>
            <w:r>
              <w:rPr>
                <w:b/>
              </w:rPr>
              <w:t>Agreement date</w:t>
            </w:r>
          </w:p>
        </w:tc>
        <w:tc>
          <w:tcPr>
            <w:tcW w:type="dxa" w:w="6840"/>
            <w:vAlign w:val="center"/>
            <w:tcBorders>
              <w:top w:val="single" w:color="D9D9D9" w:sz="4"/>
              <w:left w:val="single" w:color="D9D9D9" w:sz="4"/>
              <w:bottom w:val="single" w:color="D9D9D9" w:sz="4"/>
              <w:right w:val="single" w:color="D9D9D9" w:sz="4"/>
            </w:tcBorders>
            <w:tcMar>
              <w:top w:w="100" w:type="dxa"/>
              <w:left w:w="100" w:type="dxa"/>
              <w:bottom w:w="100" w:type="dxa"/>
              <w:right w:w="100" w:type="dxa"/>
            </w:tcMar>
            <w:shd w:fill="E9EEF2"/>
          </w:tcPr>
          <w:p>
            <w:pPr>
              <w:spacing w:after="0"/>
            </w:pPr>
            <w:r>
              <w:rPr>
                <w:b/>
              </w:rPr>
              <w:t>[date]</w:t>
            </w:r>
          </w:p>
        </w:tc>
      </w:tr>
      <w:tr>
        <w:tc>
          <w:tcPr>
            <w:tcW w:type="dxa" w:w="2736"/>
            <w:vAlign w:val="center"/>
            <w:tcBorders>
              <w:top w:val="single" w:color="D9D9D9" w:sz="4"/>
              <w:left w:val="single" w:color="D9D9D9" w:sz="4"/>
              <w:bottom w:val="single" w:color="D9D9D9" w:sz="4"/>
              <w:right w:val="single" w:color="D9D9D9" w:sz="4"/>
            </w:tcBorders>
            <w:tcMar>
              <w:top w:w="100" w:type="dxa"/>
              <w:left w:w="100" w:type="dxa"/>
              <w:bottom w:w="100" w:type="dxa"/>
              <w:right w:w="100" w:type="dxa"/>
            </w:tcMar>
          </w:tcPr>
          <w:p>
            <w:pPr>
              <w:spacing w:after="0"/>
            </w:pPr>
            <w:r>
              <w:t>Developer</w:t>
            </w:r>
          </w:p>
        </w:tc>
        <w:tc>
          <w:tcPr>
            <w:tcW w:type="dxa" w:w="6840"/>
            <w:vAlign w:val="center"/>
            <w:tcBorders>
              <w:top w:val="single" w:color="D9D9D9" w:sz="4"/>
              <w:left w:val="single" w:color="D9D9D9" w:sz="4"/>
              <w:bottom w:val="single" w:color="D9D9D9" w:sz="4"/>
              <w:right w:val="single" w:color="D9D9D9" w:sz="4"/>
            </w:tcBorders>
            <w:tcMar>
              <w:top w:w="100" w:type="dxa"/>
              <w:left w:w="100" w:type="dxa"/>
              <w:bottom w:w="100" w:type="dxa"/>
              <w:right w:w="100" w:type="dxa"/>
            </w:tcMar>
          </w:tcPr>
          <w:p>
            <w:pPr>
              <w:spacing w:after="0"/>
            </w:pPr>
            <w:r>
              <w:t>[legal name or business name], [address], [email]</w:t>
            </w:r>
          </w:p>
        </w:tc>
      </w:tr>
      <w:tr>
        <w:tc>
          <w:tcPr>
            <w:tcW w:type="dxa" w:w="2736"/>
            <w:vAlign w:val="center"/>
            <w:tcBorders>
              <w:top w:val="single" w:color="D9D9D9" w:sz="4"/>
              <w:left w:val="single" w:color="D9D9D9" w:sz="4"/>
              <w:bottom w:val="single" w:color="D9D9D9" w:sz="4"/>
              <w:right w:val="single" w:color="D9D9D9" w:sz="4"/>
            </w:tcBorders>
            <w:tcMar>
              <w:top w:w="100" w:type="dxa"/>
              <w:left w:w="100" w:type="dxa"/>
              <w:bottom w:w="100" w:type="dxa"/>
              <w:right w:w="100" w:type="dxa"/>
            </w:tcMar>
          </w:tcPr>
          <w:p>
            <w:pPr>
              <w:spacing w:after="0"/>
            </w:pPr>
            <w:r>
              <w:t>Client</w:t>
            </w:r>
          </w:p>
        </w:tc>
        <w:tc>
          <w:tcPr>
            <w:tcW w:type="dxa" w:w="6840"/>
            <w:vAlign w:val="center"/>
            <w:tcBorders>
              <w:top w:val="single" w:color="D9D9D9" w:sz="4"/>
              <w:left w:val="single" w:color="D9D9D9" w:sz="4"/>
              <w:bottom w:val="single" w:color="D9D9D9" w:sz="4"/>
              <w:right w:val="single" w:color="D9D9D9" w:sz="4"/>
            </w:tcBorders>
            <w:tcMar>
              <w:top w:w="100" w:type="dxa"/>
              <w:left w:w="100" w:type="dxa"/>
              <w:bottom w:w="100" w:type="dxa"/>
              <w:right w:w="100" w:type="dxa"/>
            </w:tcMar>
          </w:tcPr>
          <w:p>
            <w:pPr>
              <w:spacing w:after="0"/>
            </w:pPr>
            <w:r>
              <w:t>[legal name or business name], [address], [email]</w:t>
            </w:r>
          </w:p>
        </w:tc>
      </w:tr>
    </w:tbl>
    <w:p/>
    <w:p>
      <w:pPr>
        <w:pStyle w:val="Heading1"/>
      </w:pPr>
      <w:r>
        <w:t>1 Project documents and priority</w:t>
      </w:r>
    </w:p>
    <w:p>
      <w:r>
        <w:t>The Developer will perform only the services and deliverables described in a Statement of Work (SOW) signed by both parties. Schedule A is the first SOW. A later SOW may be added in writing. If documents conflict, a signed change order controls its stated change, then the applicable SOW, then this agreement. No purchase-order terms apply unless both parties expressly sign them.</w:t>
      </w:r>
    </w:p>
    <w:p>
      <w:pPr>
        <w:pStyle w:val="Heading1"/>
      </w:pPr>
      <w:r>
        <w:t>2 Scope and cooperation</w:t>
      </w:r>
    </w:p>
    <w:p>
      <w:r>
        <w:t>The Developer will use reasonable professional skill and care to perform the work. The Client will provide accurate content, access, decisions, approvals, and a contact authorized to act for it by the dates in the SOW. The Client is responsible for its supplied materials, legal notices, and business decisions. The Developer may rely on written Client approvals. Work outside the SOW requires a signed change order covering scope, price, and timing before it begins.</w:t>
      </w:r>
    </w:p>
    <w:p>
      <w:pPr>
        <w:pStyle w:val="Heading1"/>
      </w:pPr>
      <w:r>
        <w:t>3 Schedule and acceptance</w:t>
      </w:r>
    </w:p>
    <w:p>
      <w:r>
        <w:t>Milestones and acceptance criteria are in the SOW. The Developer will submit each deliverable for review. Within [number] business days, the Client will either accept it in writing or provide one consolidated written list of material failures against the stated criteria. The Developer will correct those failures and resubmit. Silence is not acceptance unless the SOW expressly says so. A delay in Client inputs, approvals, third-party services, or an agreed change extends affected dates by a reasonable period; the parties will confirm the revised schedule in writing.</w:t>
      </w:r>
    </w:p>
    <w:p>
      <w:pPr>
        <w:pStyle w:val="Heading1"/>
      </w:pPr>
      <w:r>
        <w:t>4 Fees and payment</w:t>
      </w:r>
    </w:p>
    <w:p>
      <w:r>
        <w:t>Fees, currency, deposit, milestone invoices, reimbursable expenses, and payment period are in the SOW. Applicable GST, PST, or other taxes are additional unless the SOW states otherwise. The Client will pay undisputed invoices by the stated due date and promptly identify any disputed amount and reason. Interest on overdue undisputed amounts applies only if the SOW states a lawful rate. After written notice and [number] business days to cure non-payment, the Developer may pause work and reasonably adjust the schedule. The Client pays for approved work performed and non-cancellable approved expenses even if the project ends early.</w:t>
      </w:r>
    </w:p>
    <w:p>
      <w:pPr>
        <w:pStyle w:val="Heading1"/>
      </w:pPr>
      <w:r>
        <w:t>5 Intellectual property and licences</w:t>
      </w:r>
    </w:p>
    <w:p>
      <w:r>
        <w:t>The Client retains ownership of materials it supplies and grants the Developer a limited licence to use them for this project. Subject to full payment of the applicable fees, the Developer assigns to the Client copyright in the specifically identified final deliverables created for the Client under the SOW, excluding Developer Materials and Third-Party Materials. The Developer will sign reasonable confirmatory documents. The Developer retains ownership of pre-existing code, templates, methods, tools, know-how, and reusable components (Developer Materials), and grants the Client a perpetual, worldwide, non-exclusive licence to use, reproduce, modify, and distribute those materials only as incorporated in or needed to use the final deliverables. Open-source and other third-party materials remain subject to their own licences; the SOW will identify material dependencies and any licence restrictions known at delivery. No party transfers rights it does not own. Any moral-rights waiver required for the Client’s intended use must be expressly agreed in the SOW and obtained from the relevant creator.</w:t>
      </w:r>
    </w:p>
    <w:p>
      <w:pPr>
        <w:pStyle w:val="Heading1"/>
      </w:pPr>
      <w:r>
        <w:t>6 Confidentiality and personal information</w:t>
      </w:r>
    </w:p>
    <w:p>
      <w:r>
        <w:t>Each party will use the other party’s non-public information only for this project, share it only with people who need it and are bound to protect it, and use reasonable safeguards. This does not cover information already public, independently developed, lawfully received without restriction, or required by law to be disclosed. The parties will agree in the SOW before the Developer receives production personal information, credentials, or regulated data. The Client remains responsible for lawful collection and instructions; the Developer will process such data only on documented instructions, restrict access, use reasonable security, notify the Client without undue delay after discovering a material security incident affecting that data, and return or delete it at project end subject to legal or routine backup retention. Any required detailed data-processing or security schedule must be signed before access.</w:t>
      </w:r>
    </w:p>
    <w:p>
      <w:pPr>
        <w:pStyle w:val="Heading1"/>
      </w:pPr>
      <w:r>
        <w:t>7 Accessibility and testing</w:t>
      </w:r>
    </w:p>
    <w:p>
      <w:r>
        <w:t>Accessibility targets, devices, browsers, test methods, and acceptance evidence must be stated in the SOW. A reference to WCAG or another standard does not promise certification or perfect conformance unless the SOW expressly defines that obligation. The Client will provide representative content and users or assistive-technology feedback if required by the SOW. Third-party components and later Client changes may affect accessibility and are outside the Developer’s control unless included in the SOW.</w:t>
      </w:r>
    </w:p>
    <w:p>
      <w:pPr>
        <w:pStyle w:val="Heading1"/>
      </w:pPr>
      <w:r>
        <w:t>8 Third-party services and ongoing support</w:t>
      </w:r>
    </w:p>
    <w:p>
      <w:r>
        <w:t>The SOW will identify hosting, domains, software subscriptions, payment processors, APIs, stock assets, and other third-party services, including who contracts and pays for them. The Developer does not control their availability, terms, prices, security, or future changes. Hosting, maintenance, monitoring, backups, security updates, support, and response times are excluded unless a signed SOW expressly includes them. The Developer will provide the handoff items listed in the SOW.</w:t>
      </w:r>
    </w:p>
    <w:p>
      <w:pPr>
        <w:pStyle w:val="Heading1"/>
      </w:pPr>
      <w:r>
        <w:t>9 Warranties and remedies</w:t>
      </w:r>
    </w:p>
    <w:p>
      <w:r>
        <w:t>For [number] days after acceptance, the Developer will correct reproducible material defects in its work that cause an accepted deliverable to fail its SOW criteria, at no additional labour charge, if the Client reports them with enough detail to reproduce them. This does not cover Client or third-party changes, misuse, unsupported environments, or third-party outages. Except for express promises in this agreement and rights that cannot lawfully be excluded, neither party gives other warranties, including an implied promise of a particular commercial result.</w:t>
      </w:r>
    </w:p>
    <w:p>
      <w:pPr>
        <w:pStyle w:val="Heading1"/>
      </w:pPr>
      <w:r>
        <w:t>10 Liability</w:t>
      </w:r>
    </w:p>
    <w:p>
      <w:r>
        <w:t>Neither party is liable to the other for lost profits, lost revenue, or indirect or consequential loss arising from this agreement, to the extent the law permits. Each party’s total liability arising from a SOW is limited to the fees paid or payable under that SOW during the [number]-month period before the event giving rise to the claim. The cap and exclusion do not apply to fraud, wilful misconduct, unpaid fees, infringement or misuse of the other party’s intellectual property, or liability that cannot lawfully be limited.</w:t>
      </w:r>
    </w:p>
    <w:p>
      <w:pPr>
        <w:pStyle w:val="Heading1"/>
      </w:pPr>
      <w:r>
        <w:t>11 Termination</w:t>
      </w:r>
    </w:p>
    <w:p>
      <w:r>
        <w:t>Either party may terminate a SOW for a material breach not cured within [number] business days after written notice. Either party may terminate for convenience on [number] business days’ written notice. On termination, the Client will pay for work performed through the effective date and approved non-cancellable expenses, less amounts already paid. After payment, the Developer will deliver completed paid-for work in its then-current state, subject to the IP terms above. Each party will return or destroy the other’s confidential information as reasonably requested, subject to legal and backup retention. Clauses intended to survive, including payment, intellectual property, confidentiality, liability, and dispute resolution, survive.</w:t>
      </w:r>
    </w:p>
    <w:p>
      <w:pPr>
        <w:pStyle w:val="Heading1"/>
      </w:pPr>
      <w:r>
        <w:t>12 Disputes and general terms</w:t>
      </w:r>
    </w:p>
    <w:p>
      <w:r>
        <w:t>The parties will first try in good faith to resolve a dispute through their named project contacts. If unresolved within [number] business days, either may request mediation in British Columbia before starting litigation, except for urgent injunctive relief or debt collection. British Columbia law and applicable Canadian federal law govern; the courts of British Columbia have jurisdiction. Notices must be sent to the email addresses above, with receipt acknowledged or another verifiable delivery method. Neither party may assign this agreement without the other’s written consent, except to a successor in a merger or sale of substantially all relevant assets that assumes the obligations. This agreement and signed SOWs are the entire agreement. Changes must be in writing and signed by both parties. Electronic signatures and counterparts may be used.</w:t>
      </w:r>
    </w:p>
    <w:p>
      <w:pPr>
        <w:pStyle w:val="Heading1"/>
      </w:pPr>
      <w:r>
        <w:t>Signatures</w:t>
      </w:r>
    </w:p>
    <w:tbl>
      <w:tblPr>
        <w:tblW w:type="auto" w:w="0"/>
        <w:jc w:val="center"/>
        <w:tblLook w:firstColumn="1" w:firstRow="1" w:lastColumn="0" w:lastRow="0" w:noHBand="0" w:noVBand="1" w:val="04A0"/>
      </w:tblPr>
      <w:tblGrid>
        <w:gridCol w:w="2736"/>
        <w:gridCol w:w="6840"/>
      </w:tblGrid>
      <w:tr>
        <w:tc>
          <w:tcPr>
            <w:tcW w:type="dxa" w:w="2736"/>
            <w:vAlign w:val="center"/>
            <w:tcBorders>
              <w:top w:val="single" w:color="D9D9D9" w:sz="4"/>
              <w:left w:val="single" w:color="D9D9D9" w:sz="4"/>
              <w:bottom w:val="single" w:color="D9D9D9" w:sz="4"/>
              <w:right w:val="single" w:color="D9D9D9" w:sz="4"/>
            </w:tcBorders>
            <w:tcMar>
              <w:top w:w="100" w:type="dxa"/>
              <w:left w:w="100" w:type="dxa"/>
              <w:bottom w:w="100" w:type="dxa"/>
              <w:right w:w="100" w:type="dxa"/>
            </w:tcMar>
            <w:shd w:fill="E9EEF2"/>
          </w:tcPr>
          <w:p>
            <w:pPr>
              <w:spacing w:after="0"/>
            </w:pPr>
            <w:r>
              <w:rPr>
                <w:b/>
              </w:rPr>
              <w:t>Developer</w:t>
            </w:r>
          </w:p>
        </w:tc>
        <w:tc>
          <w:tcPr>
            <w:tcW w:type="dxa" w:w="6840"/>
            <w:vAlign w:val="center"/>
            <w:tcBorders>
              <w:top w:val="single" w:color="D9D9D9" w:sz="4"/>
              <w:left w:val="single" w:color="D9D9D9" w:sz="4"/>
              <w:bottom w:val="single" w:color="D9D9D9" w:sz="4"/>
              <w:right w:val="single" w:color="D9D9D9" w:sz="4"/>
            </w:tcBorders>
            <w:tcMar>
              <w:top w:w="100" w:type="dxa"/>
              <w:left w:w="100" w:type="dxa"/>
              <w:bottom w:w="100" w:type="dxa"/>
              <w:right w:w="100" w:type="dxa"/>
            </w:tcMar>
            <w:shd w:fill="E9EEF2"/>
          </w:tcPr>
          <w:p>
            <w:pPr>
              <w:spacing w:after="0"/>
            </w:pPr>
            <w:r>
              <w:rPr>
                <w:b/>
              </w:rPr>
              <w:t>Signature: [sign]    Name and title: [complete]    Date: [date]</w:t>
            </w:r>
          </w:p>
        </w:tc>
      </w:tr>
      <w:tr>
        <w:tc>
          <w:tcPr>
            <w:tcW w:type="dxa" w:w="2736"/>
            <w:vAlign w:val="center"/>
            <w:tcBorders>
              <w:top w:val="single" w:color="D9D9D9" w:sz="4"/>
              <w:left w:val="single" w:color="D9D9D9" w:sz="4"/>
              <w:bottom w:val="single" w:color="D9D9D9" w:sz="4"/>
              <w:right w:val="single" w:color="D9D9D9" w:sz="4"/>
            </w:tcBorders>
            <w:tcMar>
              <w:top w:w="100" w:type="dxa"/>
              <w:left w:w="100" w:type="dxa"/>
              <w:bottom w:w="100" w:type="dxa"/>
              <w:right w:w="100" w:type="dxa"/>
            </w:tcMar>
          </w:tcPr>
          <w:p>
            <w:pPr>
              <w:spacing w:after="0"/>
            </w:pPr>
            <w:r>
              <w:t>Client</w:t>
            </w:r>
          </w:p>
        </w:tc>
        <w:tc>
          <w:tcPr>
            <w:tcW w:type="dxa" w:w="6840"/>
            <w:vAlign w:val="center"/>
            <w:tcBorders>
              <w:top w:val="single" w:color="D9D9D9" w:sz="4"/>
              <w:left w:val="single" w:color="D9D9D9" w:sz="4"/>
              <w:bottom w:val="single" w:color="D9D9D9" w:sz="4"/>
              <w:right w:val="single" w:color="D9D9D9" w:sz="4"/>
            </w:tcBorders>
            <w:tcMar>
              <w:top w:w="100" w:type="dxa"/>
              <w:left w:w="100" w:type="dxa"/>
              <w:bottom w:w="100" w:type="dxa"/>
              <w:right w:w="100" w:type="dxa"/>
            </w:tcMar>
          </w:tcPr>
          <w:p>
            <w:pPr>
              <w:spacing w:after="0"/>
            </w:pPr>
            <w:r>
              <w:t>Signature: [sign]    Name and title: [complete]    Date: [date]</w:t>
            </w:r>
          </w:p>
        </w:tc>
      </w:tr>
    </w:tbl>
    <w:p/>
    <w:p>
      <w:r>
        <w:br w:type="page"/>
      </w:r>
    </w:p>
    <w:p>
      <w:pPr>
        <w:pStyle w:val="Title"/>
      </w:pPr>
      <w:r>
        <w:t>Schedule A Statement of Work</w:t>
      </w:r>
    </w:p>
    <w:p>
      <w:r>
        <w:t>Complete this schedule for each project. Replace every bracketed field; delete examples that do not apply. If privacy, security, accessibility, hosting, or support needs are substantial, attach detailed schedules before signing.</w:t>
      </w:r>
    </w:p>
    <w:tbl>
      <w:tblPr>
        <w:tblW w:type="auto" w:w="0"/>
        <w:jc w:val="center"/>
        <w:tblLook w:firstColumn="1" w:firstRow="1" w:lastColumn="0" w:lastRow="0" w:noHBand="0" w:noVBand="1" w:val="04A0"/>
      </w:tblPr>
      <w:tblGrid>
        <w:gridCol w:w="2736"/>
        <w:gridCol w:w="6840"/>
      </w:tblGrid>
      <w:tr>
        <w:tc>
          <w:tcPr>
            <w:tcW w:type="dxa" w:w="2736"/>
            <w:vAlign w:val="center"/>
            <w:tcBorders>
              <w:top w:val="single" w:color="D9D9D9" w:sz="4"/>
              <w:left w:val="single" w:color="D9D9D9" w:sz="4"/>
              <w:bottom w:val="single" w:color="D9D9D9" w:sz="4"/>
              <w:right w:val="single" w:color="D9D9D9" w:sz="4"/>
            </w:tcBorders>
            <w:tcMar>
              <w:top w:w="100" w:type="dxa"/>
              <w:left w:w="100" w:type="dxa"/>
              <w:bottom w:w="100" w:type="dxa"/>
              <w:right w:w="100" w:type="dxa"/>
            </w:tcMar>
            <w:shd w:fill="E9EEF2"/>
          </w:tcPr>
          <w:p>
            <w:pPr>
              <w:spacing w:after="0"/>
            </w:pPr>
            <w:r>
              <w:rPr>
                <w:b/>
              </w:rPr>
              <w:t>Project</w:t>
            </w:r>
          </w:p>
        </w:tc>
        <w:tc>
          <w:tcPr>
            <w:tcW w:type="dxa" w:w="6840"/>
            <w:vAlign w:val="center"/>
            <w:tcBorders>
              <w:top w:val="single" w:color="D9D9D9" w:sz="4"/>
              <w:left w:val="single" w:color="D9D9D9" w:sz="4"/>
              <w:bottom w:val="single" w:color="D9D9D9" w:sz="4"/>
              <w:right w:val="single" w:color="D9D9D9" w:sz="4"/>
            </w:tcBorders>
            <w:tcMar>
              <w:top w:w="100" w:type="dxa"/>
              <w:left w:w="100" w:type="dxa"/>
              <w:bottom w:w="100" w:type="dxa"/>
              <w:right w:w="100" w:type="dxa"/>
            </w:tcMar>
            <w:shd w:fill="E9EEF2"/>
          </w:tcPr>
          <w:p>
            <w:pPr>
              <w:spacing w:after="0"/>
            </w:pPr>
            <w:r>
              <w:rPr>
                <w:b/>
              </w:rPr>
              <w:t>[project name and short purpose]</w:t>
            </w:r>
          </w:p>
        </w:tc>
      </w:tr>
      <w:tr>
        <w:tc>
          <w:tcPr>
            <w:tcW w:type="dxa" w:w="2736"/>
            <w:vAlign w:val="center"/>
            <w:tcBorders>
              <w:top w:val="single" w:color="D9D9D9" w:sz="4"/>
              <w:left w:val="single" w:color="D9D9D9" w:sz="4"/>
              <w:bottom w:val="single" w:color="D9D9D9" w:sz="4"/>
              <w:right w:val="single" w:color="D9D9D9" w:sz="4"/>
            </w:tcBorders>
            <w:tcMar>
              <w:top w:w="100" w:type="dxa"/>
              <w:left w:w="100" w:type="dxa"/>
              <w:bottom w:w="100" w:type="dxa"/>
              <w:right w:w="100" w:type="dxa"/>
            </w:tcMar>
          </w:tcPr>
          <w:p>
            <w:pPr>
              <w:spacing w:after="0"/>
            </w:pPr>
            <w:r>
              <w:t>Parties</w:t>
            </w:r>
          </w:p>
        </w:tc>
        <w:tc>
          <w:tcPr>
            <w:tcW w:type="dxa" w:w="6840"/>
            <w:vAlign w:val="center"/>
            <w:tcBorders>
              <w:top w:val="single" w:color="D9D9D9" w:sz="4"/>
              <w:left w:val="single" w:color="D9D9D9" w:sz="4"/>
              <w:bottom w:val="single" w:color="D9D9D9" w:sz="4"/>
              <w:right w:val="single" w:color="D9D9D9" w:sz="4"/>
            </w:tcBorders>
            <w:tcMar>
              <w:top w:w="100" w:type="dxa"/>
              <w:left w:w="100" w:type="dxa"/>
              <w:bottom w:w="100" w:type="dxa"/>
              <w:right w:w="100" w:type="dxa"/>
            </w:tcMar>
          </w:tcPr>
          <w:p>
            <w:pPr>
              <w:spacing w:after="0"/>
            </w:pPr>
            <w:r>
              <w:t>Developer: [name]    Client: [name]</w:t>
            </w:r>
          </w:p>
        </w:tc>
      </w:tr>
      <w:tr>
        <w:tc>
          <w:tcPr>
            <w:tcW w:type="dxa" w:w="2736"/>
            <w:vAlign w:val="center"/>
            <w:tcBorders>
              <w:top w:val="single" w:color="D9D9D9" w:sz="4"/>
              <w:left w:val="single" w:color="D9D9D9" w:sz="4"/>
              <w:bottom w:val="single" w:color="D9D9D9" w:sz="4"/>
              <w:right w:val="single" w:color="D9D9D9" w:sz="4"/>
            </w:tcBorders>
            <w:tcMar>
              <w:top w:w="100" w:type="dxa"/>
              <w:left w:w="100" w:type="dxa"/>
              <w:bottom w:w="100" w:type="dxa"/>
              <w:right w:w="100" w:type="dxa"/>
            </w:tcMar>
          </w:tcPr>
          <w:p>
            <w:pPr>
              <w:spacing w:after="0"/>
            </w:pPr>
            <w:r>
              <w:t>Start and target end</w:t>
            </w:r>
          </w:p>
        </w:tc>
        <w:tc>
          <w:tcPr>
            <w:tcW w:type="dxa" w:w="6840"/>
            <w:vAlign w:val="center"/>
            <w:tcBorders>
              <w:top w:val="single" w:color="D9D9D9" w:sz="4"/>
              <w:left w:val="single" w:color="D9D9D9" w:sz="4"/>
              <w:bottom w:val="single" w:color="D9D9D9" w:sz="4"/>
              <w:right w:val="single" w:color="D9D9D9" w:sz="4"/>
            </w:tcBorders>
            <w:tcMar>
              <w:top w:w="100" w:type="dxa"/>
              <w:left w:w="100" w:type="dxa"/>
              <w:bottom w:w="100" w:type="dxa"/>
              <w:right w:w="100" w:type="dxa"/>
            </w:tcMar>
          </w:tcPr>
          <w:p>
            <w:pPr>
              <w:spacing w:after="0"/>
            </w:pPr>
            <w:r>
              <w:t>[dates and dependencies]</w:t>
            </w:r>
          </w:p>
        </w:tc>
      </w:tr>
      <w:tr>
        <w:tc>
          <w:tcPr>
            <w:tcW w:type="dxa" w:w="2736"/>
            <w:vAlign w:val="center"/>
            <w:tcBorders>
              <w:top w:val="single" w:color="D9D9D9" w:sz="4"/>
              <w:left w:val="single" w:color="D9D9D9" w:sz="4"/>
              <w:bottom w:val="single" w:color="D9D9D9" w:sz="4"/>
              <w:right w:val="single" w:color="D9D9D9" w:sz="4"/>
            </w:tcBorders>
            <w:tcMar>
              <w:top w:w="100" w:type="dxa"/>
              <w:left w:w="100" w:type="dxa"/>
              <w:bottom w:w="100" w:type="dxa"/>
              <w:right w:w="100" w:type="dxa"/>
            </w:tcMar>
          </w:tcPr>
          <w:p>
            <w:pPr>
              <w:spacing w:after="0"/>
            </w:pPr>
            <w:r>
              <w:t>Project contacts</w:t>
            </w:r>
          </w:p>
        </w:tc>
        <w:tc>
          <w:tcPr>
            <w:tcW w:type="dxa" w:w="6840"/>
            <w:vAlign w:val="center"/>
            <w:tcBorders>
              <w:top w:val="single" w:color="D9D9D9" w:sz="4"/>
              <w:left w:val="single" w:color="D9D9D9" w:sz="4"/>
              <w:bottom w:val="single" w:color="D9D9D9" w:sz="4"/>
              <w:right w:val="single" w:color="D9D9D9" w:sz="4"/>
            </w:tcBorders>
            <w:tcMar>
              <w:top w:w="100" w:type="dxa"/>
              <w:left w:w="100" w:type="dxa"/>
              <w:bottom w:w="100" w:type="dxa"/>
              <w:right w:w="100" w:type="dxa"/>
            </w:tcMar>
          </w:tcPr>
          <w:p>
            <w:pPr>
              <w:spacing w:after="0"/>
            </w:pPr>
            <w:r>
              <w:t>Developer: [name and email]    Client approver: [name and email]</w:t>
            </w:r>
          </w:p>
        </w:tc>
      </w:tr>
    </w:tbl>
    <w:p/>
    <w:p>
      <w:pPr>
        <w:pStyle w:val="Heading1"/>
      </w:pPr>
      <w:r>
        <w:t>Scope and deliverables</w:t>
      </w:r>
    </w:p>
    <w:p>
      <w:r>
        <w:rPr>
          <w:b/>
        </w:rPr>
        <w:t xml:space="preserve">Included services and deliverables  </w:t>
      </w:r>
      <w:r>
        <w:t>[complete]</w:t>
      </w:r>
    </w:p>
    <w:p>
      <w:r>
        <w:rPr>
          <w:b/>
        </w:rPr>
        <w:t xml:space="preserve">Out of scope and assumptions  </w:t>
      </w:r>
      <w:r>
        <w:t>[complete]</w:t>
      </w:r>
    </w:p>
    <w:p>
      <w:r>
        <w:rPr>
          <w:b/>
        </w:rPr>
        <w:t xml:space="preserve">Client content, access, approvals, and due dates  </w:t>
      </w:r>
      <w:r>
        <w:t>[complete]</w:t>
      </w:r>
    </w:p>
    <w:p>
      <w:pPr>
        <w:pStyle w:val="Heading1"/>
      </w:pPr>
      <w:r>
        <w:t>Milestones and acceptance</w:t>
      </w:r>
    </w:p>
    <w:tbl>
      <w:tblPr>
        <w:tblW w:type="auto" w:w="0"/>
        <w:jc w:val="center"/>
        <w:tblLook w:firstColumn="1" w:firstRow="1" w:lastColumn="0" w:lastRow="0" w:noHBand="0" w:noVBand="1" w:val="04A0"/>
      </w:tblPr>
      <w:tblGrid>
        <w:gridCol w:w="2736"/>
        <w:gridCol w:w="6840"/>
      </w:tblGrid>
      <w:tr>
        <w:tc>
          <w:tcPr>
            <w:tcW w:type="dxa" w:w="2736"/>
            <w:vAlign w:val="center"/>
            <w:tcBorders>
              <w:top w:val="single" w:color="D9D9D9" w:sz="4"/>
              <w:left w:val="single" w:color="D9D9D9" w:sz="4"/>
              <w:bottom w:val="single" w:color="D9D9D9" w:sz="4"/>
              <w:right w:val="single" w:color="D9D9D9" w:sz="4"/>
            </w:tcBorders>
            <w:tcMar>
              <w:top w:w="100" w:type="dxa"/>
              <w:left w:w="100" w:type="dxa"/>
              <w:bottom w:w="100" w:type="dxa"/>
              <w:right w:w="100" w:type="dxa"/>
            </w:tcMar>
            <w:shd w:fill="E9EEF2"/>
          </w:tcPr>
          <w:p>
            <w:pPr>
              <w:spacing w:after="0"/>
            </w:pPr>
            <w:r>
              <w:rPr>
                <w:b/>
              </w:rPr>
              <w:t>Milestone / target date</w:t>
            </w:r>
          </w:p>
        </w:tc>
        <w:tc>
          <w:tcPr>
            <w:tcW w:type="dxa" w:w="6840"/>
            <w:vAlign w:val="center"/>
            <w:tcBorders>
              <w:top w:val="single" w:color="D9D9D9" w:sz="4"/>
              <w:left w:val="single" w:color="D9D9D9" w:sz="4"/>
              <w:bottom w:val="single" w:color="D9D9D9" w:sz="4"/>
              <w:right w:val="single" w:color="D9D9D9" w:sz="4"/>
            </w:tcBorders>
            <w:tcMar>
              <w:top w:w="100" w:type="dxa"/>
              <w:left w:w="100" w:type="dxa"/>
              <w:bottom w:w="100" w:type="dxa"/>
              <w:right w:w="100" w:type="dxa"/>
            </w:tcMar>
            <w:shd w:fill="E9EEF2"/>
          </w:tcPr>
          <w:p>
            <w:pPr>
              <w:spacing w:after="0"/>
            </w:pPr>
            <w:r>
              <w:rPr>
                <w:b/>
              </w:rPr>
              <w:t>Deliverable, review method, and objective acceptance criteria</w:t>
            </w:r>
          </w:p>
        </w:tc>
      </w:tr>
      <w:tr>
        <w:tc>
          <w:tcPr>
            <w:tcW w:type="dxa" w:w="2736"/>
            <w:vAlign w:val="center"/>
            <w:tcBorders>
              <w:top w:val="single" w:color="D9D9D9" w:sz="4"/>
              <w:left w:val="single" w:color="D9D9D9" w:sz="4"/>
              <w:bottom w:val="single" w:color="D9D9D9" w:sz="4"/>
              <w:right w:val="single" w:color="D9D9D9" w:sz="4"/>
            </w:tcBorders>
            <w:tcMar>
              <w:top w:w="100" w:type="dxa"/>
              <w:left w:w="100" w:type="dxa"/>
              <w:bottom w:w="100" w:type="dxa"/>
              <w:right w:w="100" w:type="dxa"/>
            </w:tcMar>
          </w:tcPr>
          <w:p>
            <w:pPr>
              <w:spacing w:after="0"/>
            </w:pPr>
            <w:r>
              <w:t>[milestone 1 / date]</w:t>
            </w:r>
          </w:p>
        </w:tc>
        <w:tc>
          <w:tcPr>
            <w:tcW w:type="dxa" w:w="6840"/>
            <w:vAlign w:val="center"/>
            <w:tcBorders>
              <w:top w:val="single" w:color="D9D9D9" w:sz="4"/>
              <w:left w:val="single" w:color="D9D9D9" w:sz="4"/>
              <w:bottom w:val="single" w:color="D9D9D9" w:sz="4"/>
              <w:right w:val="single" w:color="D9D9D9" w:sz="4"/>
            </w:tcBorders>
            <w:tcMar>
              <w:top w:w="100" w:type="dxa"/>
              <w:left w:w="100" w:type="dxa"/>
              <w:bottom w:w="100" w:type="dxa"/>
              <w:right w:w="100" w:type="dxa"/>
            </w:tcMar>
          </w:tcPr>
          <w:p>
            <w:pPr>
              <w:spacing w:after="0"/>
            </w:pPr>
            <w:r>
              <w:t>[deliverable; test or evidence; approver]</w:t>
            </w:r>
          </w:p>
        </w:tc>
      </w:tr>
      <w:tr>
        <w:tc>
          <w:tcPr>
            <w:tcW w:type="dxa" w:w="2736"/>
            <w:vAlign w:val="center"/>
            <w:tcBorders>
              <w:top w:val="single" w:color="D9D9D9" w:sz="4"/>
              <w:left w:val="single" w:color="D9D9D9" w:sz="4"/>
              <w:bottom w:val="single" w:color="D9D9D9" w:sz="4"/>
              <w:right w:val="single" w:color="D9D9D9" w:sz="4"/>
            </w:tcBorders>
            <w:tcMar>
              <w:top w:w="100" w:type="dxa"/>
              <w:left w:w="100" w:type="dxa"/>
              <w:bottom w:w="100" w:type="dxa"/>
              <w:right w:w="100" w:type="dxa"/>
            </w:tcMar>
          </w:tcPr>
          <w:p>
            <w:pPr>
              <w:spacing w:after="0"/>
            </w:pPr>
            <w:r>
              <w:t>[milestone 2 / date]</w:t>
            </w:r>
          </w:p>
        </w:tc>
        <w:tc>
          <w:tcPr>
            <w:tcW w:type="dxa" w:w="6840"/>
            <w:vAlign w:val="center"/>
            <w:tcBorders>
              <w:top w:val="single" w:color="D9D9D9" w:sz="4"/>
              <w:left w:val="single" w:color="D9D9D9" w:sz="4"/>
              <w:bottom w:val="single" w:color="D9D9D9" w:sz="4"/>
              <w:right w:val="single" w:color="D9D9D9" w:sz="4"/>
            </w:tcBorders>
            <w:tcMar>
              <w:top w:w="100" w:type="dxa"/>
              <w:left w:w="100" w:type="dxa"/>
              <w:bottom w:w="100" w:type="dxa"/>
              <w:right w:w="100" w:type="dxa"/>
            </w:tcMar>
          </w:tcPr>
          <w:p>
            <w:pPr>
              <w:spacing w:after="0"/>
            </w:pPr>
            <w:r>
              <w:t>[deliverable; test or evidence; approver]</w:t>
            </w:r>
          </w:p>
        </w:tc>
      </w:tr>
      <w:tr>
        <w:tc>
          <w:tcPr>
            <w:tcW w:type="dxa" w:w="2736"/>
            <w:vAlign w:val="center"/>
            <w:tcBorders>
              <w:top w:val="single" w:color="D9D9D9" w:sz="4"/>
              <w:left w:val="single" w:color="D9D9D9" w:sz="4"/>
              <w:bottom w:val="single" w:color="D9D9D9" w:sz="4"/>
              <w:right w:val="single" w:color="D9D9D9" w:sz="4"/>
            </w:tcBorders>
            <w:tcMar>
              <w:top w:w="100" w:type="dxa"/>
              <w:left w:w="100" w:type="dxa"/>
              <w:bottom w:w="100" w:type="dxa"/>
              <w:right w:w="100" w:type="dxa"/>
            </w:tcMar>
          </w:tcPr>
          <w:p>
            <w:pPr>
              <w:spacing w:after="0"/>
            </w:pPr>
            <w:r>
              <w:t>[handoff / date]</w:t>
            </w:r>
          </w:p>
        </w:tc>
        <w:tc>
          <w:tcPr>
            <w:tcW w:type="dxa" w:w="6840"/>
            <w:vAlign w:val="center"/>
            <w:tcBorders>
              <w:top w:val="single" w:color="D9D9D9" w:sz="4"/>
              <w:left w:val="single" w:color="D9D9D9" w:sz="4"/>
              <w:bottom w:val="single" w:color="D9D9D9" w:sz="4"/>
              <w:right w:val="single" w:color="D9D9D9" w:sz="4"/>
            </w:tcBorders>
            <w:tcMar>
              <w:top w:w="100" w:type="dxa"/>
              <w:left w:w="100" w:type="dxa"/>
              <w:bottom w:w="100" w:type="dxa"/>
              <w:right w:w="100" w:type="dxa"/>
            </w:tcMar>
          </w:tcPr>
          <w:p>
            <w:pPr>
              <w:spacing w:after="0"/>
            </w:pPr>
            <w:r>
              <w:t>[source files, documentation, account access, training, deployment evidence]</w:t>
            </w:r>
          </w:p>
        </w:tc>
      </w:tr>
    </w:tbl>
    <w:p/>
    <w:p>
      <w:r>
        <w:rPr>
          <w:b/>
        </w:rPr>
        <w:t xml:space="preserve">Review period and correction cycle under clause 3  </w:t>
      </w:r>
      <w:r>
        <w:t>[complete]</w:t>
      </w:r>
    </w:p>
    <w:p>
      <w:pPr>
        <w:pStyle w:val="Heading1"/>
      </w:pPr>
      <w:r>
        <w:t>Fees and payment</w:t>
      </w:r>
    </w:p>
    <w:tbl>
      <w:tblPr>
        <w:tblW w:type="auto" w:w="0"/>
        <w:jc w:val="center"/>
        <w:tblLook w:firstColumn="1" w:firstRow="1" w:lastColumn="0" w:lastRow="0" w:noHBand="0" w:noVBand="1" w:val="04A0"/>
      </w:tblPr>
      <w:tblGrid>
        <w:gridCol w:w="2736"/>
        <w:gridCol w:w="6840"/>
      </w:tblGrid>
      <w:tr>
        <w:tc>
          <w:tcPr>
            <w:tcW w:type="dxa" w:w="2736"/>
            <w:vAlign w:val="center"/>
            <w:tcBorders>
              <w:top w:val="single" w:color="D9D9D9" w:sz="4"/>
              <w:left w:val="single" w:color="D9D9D9" w:sz="4"/>
              <w:bottom w:val="single" w:color="D9D9D9" w:sz="4"/>
              <w:right w:val="single" w:color="D9D9D9" w:sz="4"/>
            </w:tcBorders>
            <w:tcMar>
              <w:top w:w="100" w:type="dxa"/>
              <w:left w:w="100" w:type="dxa"/>
              <w:bottom w:w="100" w:type="dxa"/>
              <w:right w:w="100" w:type="dxa"/>
            </w:tcMar>
            <w:shd w:fill="E9EEF2"/>
          </w:tcPr>
          <w:p>
            <w:pPr>
              <w:spacing w:after="0"/>
            </w:pPr>
            <w:r>
              <w:rPr>
                <w:b/>
              </w:rPr>
              <w:t>Pricing</w:t>
            </w:r>
          </w:p>
        </w:tc>
        <w:tc>
          <w:tcPr>
            <w:tcW w:type="dxa" w:w="6840"/>
            <w:vAlign w:val="center"/>
            <w:tcBorders>
              <w:top w:val="single" w:color="D9D9D9" w:sz="4"/>
              <w:left w:val="single" w:color="D9D9D9" w:sz="4"/>
              <w:bottom w:val="single" w:color="D9D9D9" w:sz="4"/>
              <w:right w:val="single" w:color="D9D9D9" w:sz="4"/>
            </w:tcBorders>
            <w:tcMar>
              <w:top w:w="100" w:type="dxa"/>
              <w:left w:w="100" w:type="dxa"/>
              <w:bottom w:w="100" w:type="dxa"/>
              <w:right w:w="100" w:type="dxa"/>
            </w:tcMar>
            <w:shd w:fill="E9EEF2"/>
          </w:tcPr>
          <w:p>
            <w:pPr>
              <w:spacing w:after="0"/>
            </w:pPr>
            <w:r>
              <w:rPr>
                <w:b/>
              </w:rPr>
              <w:t>[fixed fee or hourly rate; currency; estimate or cap if applicable]</w:t>
            </w:r>
          </w:p>
        </w:tc>
      </w:tr>
      <w:tr>
        <w:tc>
          <w:tcPr>
            <w:tcW w:type="dxa" w:w="2736"/>
            <w:vAlign w:val="center"/>
            <w:tcBorders>
              <w:top w:val="single" w:color="D9D9D9" w:sz="4"/>
              <w:left w:val="single" w:color="D9D9D9" w:sz="4"/>
              <w:bottom w:val="single" w:color="D9D9D9" w:sz="4"/>
              <w:right w:val="single" w:color="D9D9D9" w:sz="4"/>
            </w:tcBorders>
            <w:tcMar>
              <w:top w:w="100" w:type="dxa"/>
              <w:left w:w="100" w:type="dxa"/>
              <w:bottom w:w="100" w:type="dxa"/>
              <w:right w:w="100" w:type="dxa"/>
            </w:tcMar>
          </w:tcPr>
          <w:p>
            <w:pPr>
              <w:spacing w:after="0"/>
            </w:pPr>
            <w:r>
              <w:t>Deposit and invoices</w:t>
            </w:r>
          </w:p>
        </w:tc>
        <w:tc>
          <w:tcPr>
            <w:tcW w:type="dxa" w:w="6840"/>
            <w:vAlign w:val="center"/>
            <w:tcBorders>
              <w:top w:val="single" w:color="D9D9D9" w:sz="4"/>
              <w:left w:val="single" w:color="D9D9D9" w:sz="4"/>
              <w:bottom w:val="single" w:color="D9D9D9" w:sz="4"/>
              <w:right w:val="single" w:color="D9D9D9" w:sz="4"/>
            </w:tcBorders>
            <w:tcMar>
              <w:top w:w="100" w:type="dxa"/>
              <w:left w:w="100" w:type="dxa"/>
              <w:bottom w:w="100" w:type="dxa"/>
              <w:right w:w="100" w:type="dxa"/>
            </w:tcMar>
          </w:tcPr>
          <w:p>
            <w:pPr>
              <w:spacing w:after="0"/>
            </w:pPr>
            <w:r>
              <w:t>[amount or percentage; milestone or monthly schedule]</w:t>
            </w:r>
          </w:p>
        </w:tc>
      </w:tr>
      <w:tr>
        <w:tc>
          <w:tcPr>
            <w:tcW w:type="dxa" w:w="2736"/>
            <w:vAlign w:val="center"/>
            <w:tcBorders>
              <w:top w:val="single" w:color="D9D9D9" w:sz="4"/>
              <w:left w:val="single" w:color="D9D9D9" w:sz="4"/>
              <w:bottom w:val="single" w:color="D9D9D9" w:sz="4"/>
              <w:right w:val="single" w:color="D9D9D9" w:sz="4"/>
            </w:tcBorders>
            <w:tcMar>
              <w:top w:w="100" w:type="dxa"/>
              <w:left w:w="100" w:type="dxa"/>
              <w:bottom w:w="100" w:type="dxa"/>
              <w:right w:w="100" w:type="dxa"/>
            </w:tcMar>
          </w:tcPr>
          <w:p>
            <w:pPr>
              <w:spacing w:after="0"/>
            </w:pPr>
            <w:r>
              <w:t>Payment terms</w:t>
            </w:r>
          </w:p>
        </w:tc>
        <w:tc>
          <w:tcPr>
            <w:tcW w:type="dxa" w:w="6840"/>
            <w:vAlign w:val="center"/>
            <w:tcBorders>
              <w:top w:val="single" w:color="D9D9D9" w:sz="4"/>
              <w:left w:val="single" w:color="D9D9D9" w:sz="4"/>
              <w:bottom w:val="single" w:color="D9D9D9" w:sz="4"/>
              <w:right w:val="single" w:color="D9D9D9" w:sz="4"/>
            </w:tcBorders>
            <w:tcMar>
              <w:top w:w="100" w:type="dxa"/>
              <w:left w:w="100" w:type="dxa"/>
              <w:bottom w:w="100" w:type="dxa"/>
              <w:right w:w="100" w:type="dxa"/>
            </w:tcMar>
          </w:tcPr>
          <w:p>
            <w:pPr>
              <w:spacing w:after="0"/>
            </w:pPr>
            <w:r>
              <w:t>[number] calendar days from invoice</w:t>
            </w:r>
          </w:p>
        </w:tc>
      </w:tr>
      <w:tr>
        <w:tc>
          <w:tcPr>
            <w:tcW w:type="dxa" w:w="2736"/>
            <w:vAlign w:val="center"/>
            <w:tcBorders>
              <w:top w:val="single" w:color="D9D9D9" w:sz="4"/>
              <w:left w:val="single" w:color="D9D9D9" w:sz="4"/>
              <w:bottom w:val="single" w:color="D9D9D9" w:sz="4"/>
              <w:right w:val="single" w:color="D9D9D9" w:sz="4"/>
            </w:tcBorders>
            <w:tcMar>
              <w:top w:w="100" w:type="dxa"/>
              <w:left w:w="100" w:type="dxa"/>
              <w:bottom w:w="100" w:type="dxa"/>
              <w:right w:w="100" w:type="dxa"/>
            </w:tcMar>
          </w:tcPr>
          <w:p>
            <w:pPr>
              <w:spacing w:after="0"/>
            </w:pPr>
            <w:r>
              <w:t>Taxes and expenses</w:t>
            </w:r>
          </w:p>
        </w:tc>
        <w:tc>
          <w:tcPr>
            <w:tcW w:type="dxa" w:w="6840"/>
            <w:vAlign w:val="center"/>
            <w:tcBorders>
              <w:top w:val="single" w:color="D9D9D9" w:sz="4"/>
              <w:left w:val="single" w:color="D9D9D9" w:sz="4"/>
              <w:bottom w:val="single" w:color="D9D9D9" w:sz="4"/>
              <w:right w:val="single" w:color="D9D9D9" w:sz="4"/>
            </w:tcBorders>
            <w:tcMar>
              <w:top w:w="100" w:type="dxa"/>
              <w:left w:w="100" w:type="dxa"/>
              <w:bottom w:w="100" w:type="dxa"/>
              <w:right w:w="100" w:type="dxa"/>
            </w:tcMar>
          </w:tcPr>
          <w:p>
            <w:pPr>
              <w:spacing w:after="0"/>
            </w:pPr>
            <w:r>
              <w:t>[tax treatment; pre-approval threshold; reimbursable items]</w:t>
            </w:r>
          </w:p>
        </w:tc>
      </w:tr>
      <w:tr>
        <w:tc>
          <w:tcPr>
            <w:tcW w:type="dxa" w:w="2736"/>
            <w:vAlign w:val="center"/>
            <w:tcBorders>
              <w:top w:val="single" w:color="D9D9D9" w:sz="4"/>
              <w:left w:val="single" w:color="D9D9D9" w:sz="4"/>
              <w:bottom w:val="single" w:color="D9D9D9" w:sz="4"/>
              <w:right w:val="single" w:color="D9D9D9" w:sz="4"/>
            </w:tcBorders>
            <w:tcMar>
              <w:top w:w="100" w:type="dxa"/>
              <w:left w:w="100" w:type="dxa"/>
              <w:bottom w:w="100" w:type="dxa"/>
              <w:right w:w="100" w:type="dxa"/>
            </w:tcMar>
          </w:tcPr>
          <w:p>
            <w:pPr>
              <w:spacing w:after="0"/>
            </w:pPr>
            <w:r>
              <w:t>Late payment</w:t>
            </w:r>
          </w:p>
        </w:tc>
        <w:tc>
          <w:tcPr>
            <w:tcW w:type="dxa" w:w="6840"/>
            <w:vAlign w:val="center"/>
            <w:tcBorders>
              <w:top w:val="single" w:color="D9D9D9" w:sz="4"/>
              <w:left w:val="single" w:color="D9D9D9" w:sz="4"/>
              <w:bottom w:val="single" w:color="D9D9D9" w:sz="4"/>
              <w:right w:val="single" w:color="D9D9D9" w:sz="4"/>
            </w:tcBorders>
            <w:tcMar>
              <w:top w:w="100" w:type="dxa"/>
              <w:left w:w="100" w:type="dxa"/>
              <w:bottom w:w="100" w:type="dxa"/>
              <w:right w:w="100" w:type="dxa"/>
            </w:tcMar>
          </w:tcPr>
          <w:p>
            <w:pPr>
              <w:spacing w:after="0"/>
            </w:pPr>
            <w:r>
              <w:t>[rate if any, subject to law; otherwise none]</w:t>
            </w:r>
          </w:p>
        </w:tc>
      </w:tr>
    </w:tbl>
    <w:p/>
    <w:p>
      <w:pPr>
        <w:pStyle w:val="Heading1"/>
      </w:pPr>
      <w:r>
        <w:t>Technical and legal project choices</w:t>
      </w:r>
    </w:p>
    <w:p>
      <w:r>
        <w:rPr>
          <w:b/>
        </w:rPr>
        <w:t xml:space="preserve">Accessibility target, test method, and excluded third-party content  </w:t>
      </w:r>
      <w:r>
        <w:t>[complete]</w:t>
      </w:r>
    </w:p>
    <w:p>
      <w:r>
        <w:rPr>
          <w:b/>
        </w:rPr>
        <w:t xml:space="preserve">Supported devices, browsers, environments, and performance criteria  </w:t>
      </w:r>
      <w:r>
        <w:t>[complete]</w:t>
      </w:r>
    </w:p>
    <w:p>
      <w:r>
        <w:rPr>
          <w:b/>
        </w:rPr>
        <w:t xml:space="preserve">Personal information, data location, security controls, and signed data schedule if needed  </w:t>
      </w:r>
      <w:r>
        <w:t>[complete]</w:t>
      </w:r>
    </w:p>
    <w:p>
      <w:r>
        <w:rPr>
          <w:b/>
        </w:rPr>
        <w:t xml:space="preserve">Third-party services, licence restrictions, account owner, and recurring costs  </w:t>
      </w:r>
      <w:r>
        <w:t>[complete]</w:t>
      </w:r>
    </w:p>
    <w:p>
      <w:r>
        <w:rPr>
          <w:b/>
        </w:rPr>
        <w:t xml:space="preserve">Developer Materials included and any special licence terms  </w:t>
      </w:r>
      <w:r>
        <w:t>[complete]</w:t>
      </w:r>
    </w:p>
    <w:p>
      <w:r>
        <w:rPr>
          <w:b/>
        </w:rPr>
        <w:t xml:space="preserve">Final deliverables assigned after payment; any moral-rights waiver required  </w:t>
      </w:r>
      <w:r>
        <w:t>[complete]</w:t>
      </w:r>
    </w:p>
    <w:p>
      <w:r>
        <w:rPr>
          <w:b/>
        </w:rPr>
        <w:t xml:space="preserve">Hosting, maintenance, backups, support, and warranty period if included  </w:t>
      </w:r>
      <w:r>
        <w:t>[complete]</w:t>
      </w:r>
    </w:p>
    <w:p>
      <w:r>
        <w:rPr>
          <w:b/>
        </w:rPr>
        <w:t xml:space="preserve">Change-order approval process and rates  </w:t>
      </w:r>
      <w:r>
        <w:t>[complete]</w:t>
      </w:r>
    </w:p>
    <w:p>
      <w:r>
        <w:rPr>
          <w:b/>
        </w:rPr>
        <w:t xml:space="preserve">Liability cap or other project-specific variation, if agreed  </w:t>
      </w:r>
      <w:r>
        <w:t>[complete]</w:t>
      </w:r>
    </w:p>
    <w:p>
      <w:pPr>
        <w:pStyle w:val="Heading1"/>
      </w:pPr>
      <w:r>
        <w:t>Schedule approval</w:t>
      </w:r>
    </w:p>
    <w:tbl>
      <w:tblPr>
        <w:tblW w:type="auto" w:w="0"/>
        <w:jc w:val="center"/>
        <w:tblLook w:firstColumn="1" w:firstRow="1" w:lastColumn="0" w:lastRow="0" w:noHBand="0" w:noVBand="1" w:val="04A0"/>
      </w:tblPr>
      <w:tblGrid>
        <w:gridCol w:w="2736"/>
        <w:gridCol w:w="6840"/>
      </w:tblGrid>
      <w:tr>
        <w:tc>
          <w:tcPr>
            <w:tcW w:type="dxa" w:w="2736"/>
            <w:vAlign w:val="center"/>
            <w:tcBorders>
              <w:top w:val="single" w:color="D9D9D9" w:sz="4"/>
              <w:left w:val="single" w:color="D9D9D9" w:sz="4"/>
              <w:bottom w:val="single" w:color="D9D9D9" w:sz="4"/>
              <w:right w:val="single" w:color="D9D9D9" w:sz="4"/>
            </w:tcBorders>
            <w:tcMar>
              <w:top w:w="100" w:type="dxa"/>
              <w:left w:w="100" w:type="dxa"/>
              <w:bottom w:w="100" w:type="dxa"/>
              <w:right w:w="100" w:type="dxa"/>
            </w:tcMar>
            <w:shd w:fill="E9EEF2"/>
          </w:tcPr>
          <w:p>
            <w:pPr>
              <w:spacing w:after="0"/>
            </w:pPr>
            <w:r>
              <w:rPr>
                <w:b/>
              </w:rPr>
              <w:t>Developer</w:t>
            </w:r>
          </w:p>
        </w:tc>
        <w:tc>
          <w:tcPr>
            <w:tcW w:type="dxa" w:w="6840"/>
            <w:vAlign w:val="center"/>
            <w:tcBorders>
              <w:top w:val="single" w:color="D9D9D9" w:sz="4"/>
              <w:left w:val="single" w:color="D9D9D9" w:sz="4"/>
              <w:bottom w:val="single" w:color="D9D9D9" w:sz="4"/>
              <w:right w:val="single" w:color="D9D9D9" w:sz="4"/>
            </w:tcBorders>
            <w:tcMar>
              <w:top w:w="100" w:type="dxa"/>
              <w:left w:w="100" w:type="dxa"/>
              <w:bottom w:w="100" w:type="dxa"/>
              <w:right w:w="100" w:type="dxa"/>
            </w:tcMar>
            <w:shd w:fill="E9EEF2"/>
          </w:tcPr>
          <w:p>
            <w:pPr>
              <w:spacing w:after="0"/>
            </w:pPr>
            <w:r>
              <w:rPr>
                <w:b/>
              </w:rPr>
              <w:t>Signature: [sign]    Name and title: [complete]    Date: [date]</w:t>
            </w:r>
          </w:p>
        </w:tc>
      </w:tr>
      <w:tr>
        <w:tc>
          <w:tcPr>
            <w:tcW w:type="dxa" w:w="2736"/>
            <w:vAlign w:val="center"/>
            <w:tcBorders>
              <w:top w:val="single" w:color="D9D9D9" w:sz="4"/>
              <w:left w:val="single" w:color="D9D9D9" w:sz="4"/>
              <w:bottom w:val="single" w:color="D9D9D9" w:sz="4"/>
              <w:right w:val="single" w:color="D9D9D9" w:sz="4"/>
            </w:tcBorders>
            <w:tcMar>
              <w:top w:w="100" w:type="dxa"/>
              <w:left w:w="100" w:type="dxa"/>
              <w:bottom w:w="100" w:type="dxa"/>
              <w:right w:w="100" w:type="dxa"/>
            </w:tcMar>
          </w:tcPr>
          <w:p>
            <w:pPr>
              <w:spacing w:after="0"/>
            </w:pPr>
            <w:r>
              <w:t>Client</w:t>
            </w:r>
          </w:p>
        </w:tc>
        <w:tc>
          <w:tcPr>
            <w:tcW w:type="dxa" w:w="6840"/>
            <w:vAlign w:val="center"/>
            <w:tcBorders>
              <w:top w:val="single" w:color="D9D9D9" w:sz="4"/>
              <w:left w:val="single" w:color="D9D9D9" w:sz="4"/>
              <w:bottom w:val="single" w:color="D9D9D9" w:sz="4"/>
              <w:right w:val="single" w:color="D9D9D9" w:sz="4"/>
            </w:tcBorders>
            <w:tcMar>
              <w:top w:w="100" w:type="dxa"/>
              <w:left w:w="100" w:type="dxa"/>
              <w:bottom w:w="100" w:type="dxa"/>
              <w:right w:w="100" w:type="dxa"/>
            </w:tcMar>
          </w:tcPr>
          <w:p>
            <w:pPr>
              <w:spacing w:after="0"/>
            </w:pPr>
            <w:r>
              <w:t>Signature: [sign]    Name and title: [complete]    Date: [date]</w:t>
            </w:r>
          </w:p>
        </w:tc>
      </w:tr>
    </w:tbl>
    <w:p/>
    <w:sectPr w:rsidR="00FC693F" w:rsidRPr="0006063C" w:rsidSect="00034616">
      <w:pgSz w:w="12240" w:h="15840"/>
      <w:pgMar w:top="1037" w:right="1181" w:bottom="1008"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ptos" w:hAnsi="Aptos"/>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ptos" w:hAnsi="Aptos"/>
      <w:b/>
      <w:bCs/>
      <w:color w:val="000000"/>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40" w:line="240" w:lineRule="auto" w:before="0"/>
      <w:contextualSpacing/>
    </w:pPr>
    <w:rPr>
      <w:rFonts w:asciiTheme="majorHAnsi" w:eastAsiaTheme="majorEastAsia" w:hAnsiTheme="majorHAnsi" w:cstheme="majorBidi" w:ascii="Aptos Display" w:hAnsi="Aptos Display"/>
      <w:b/>
      <w:color w:val="000000"/>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Freelance Website and Software Development Agreement</dc:title>
  <dc:subject>Reusable agreement and statement of work template</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