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47C09" w:rsidRPr="00B27BE4" w:rsidRDefault="00B47C09" w:rsidP="00850C27">
      <w:pPr>
        <w:jc w:val="center"/>
        <w:rPr>
          <w:rFonts w:ascii="Calibri" w:hAnsi="Calibri" w:cs="Calibri"/>
          <w:b/>
          <w:bCs/>
          <w:sz w:val="22"/>
          <w:szCs w:val="22"/>
        </w:rPr>
      </w:pPr>
      <w:r w:rsidRPr="00B27BE4">
        <w:rPr>
          <w:rFonts w:ascii="Calibri" w:hAnsi="Calibri" w:cs="Calibri"/>
          <w:b/>
          <w:bCs/>
          <w:sz w:val="22"/>
          <w:szCs w:val="22"/>
        </w:rPr>
        <w:t>CITY OF SCHERTZ</w:t>
      </w:r>
    </w:p>
    <w:p w:rsidR="00B47C09" w:rsidRDefault="00B47C09" w:rsidP="00B47C09">
      <w:pPr>
        <w:rPr>
          <w:rFonts w:ascii="Calibri" w:hAnsi="Calibri" w:cs="Calibri"/>
          <w:b/>
          <w:bCs/>
          <w:sz w:val="22"/>
          <w:szCs w:val="22"/>
        </w:rPr>
      </w:pPr>
    </w:p>
    <w:p w:rsidR="00850C27" w:rsidRDefault="00850C27" w:rsidP="00850C27">
      <w:pPr>
        <w:jc w:val="center"/>
        <w:rPr>
          <w:rFonts w:ascii="Calibri" w:hAnsi="Calibri" w:cs="Calibri"/>
          <w:b/>
          <w:bCs/>
          <w:sz w:val="22"/>
          <w:szCs w:val="22"/>
        </w:rPr>
      </w:pPr>
      <w:r w:rsidRPr="00850C27">
        <w:rPr>
          <w:rFonts w:ascii="Calibri" w:hAnsi="Calibri" w:cs="Calibri"/>
          <w:b/>
          <w:bCs/>
          <w:sz w:val="22"/>
          <w:szCs w:val="22"/>
        </w:rPr>
        <w:t>Property Tax Revenue:</w:t>
      </w:r>
    </w:p>
    <w:p w:rsidR="00850C27" w:rsidRPr="00850C27" w:rsidRDefault="00850C27" w:rsidP="00850C27">
      <w:pPr>
        <w:jc w:val="center"/>
        <w:rPr>
          <w:rFonts w:ascii="Calibri" w:hAnsi="Calibri" w:cs="Calibri"/>
          <w:b/>
          <w:bCs/>
          <w:sz w:val="22"/>
          <w:szCs w:val="22"/>
        </w:rPr>
      </w:pPr>
      <w:r w:rsidRPr="00850C27">
        <w:rPr>
          <w:rFonts w:ascii="Calibri" w:hAnsi="Calibri" w:cs="Calibri"/>
          <w:b/>
          <w:bCs/>
          <w:sz w:val="22"/>
          <w:szCs w:val="22"/>
        </w:rPr>
        <w:t>What Is Happening and Why It Matters</w:t>
      </w:r>
    </w:p>
    <w:p w:rsidR="00850C27" w:rsidRPr="00850C27" w:rsidRDefault="00850C27" w:rsidP="00850C27">
      <w:pPr>
        <w:jc w:val="center"/>
        <w:rPr>
          <w:rFonts w:ascii="Calibri" w:hAnsi="Calibri" w:cs="Calibri"/>
          <w:b/>
          <w:bCs/>
          <w:sz w:val="22"/>
          <w:szCs w:val="22"/>
        </w:rPr>
      </w:pPr>
      <w:r w:rsidRPr="00850C27">
        <w:rPr>
          <w:rFonts w:ascii="Calibri" w:hAnsi="Calibri" w:cs="Calibri"/>
          <w:b/>
          <w:bCs/>
          <w:sz w:val="22"/>
          <w:szCs w:val="22"/>
        </w:rPr>
        <w:t>FY 2020–FY 2026 Overview</w:t>
      </w:r>
    </w:p>
    <w:p w:rsidR="00850C27" w:rsidRPr="00850C27" w:rsidRDefault="003356F3" w:rsidP="00850C27">
      <w:pPr>
        <w:rPr>
          <w:rFonts w:ascii="Calibri" w:hAnsi="Calibri" w:cs="Calibri"/>
          <w:b/>
          <w:bCs/>
          <w:sz w:val="22"/>
          <w:szCs w:val="22"/>
        </w:rPr>
      </w:pPr>
      <w:r w:rsidRPr="003356F3">
        <w:rPr>
          <w:rFonts w:ascii="Calibri" w:hAnsi="Calibri" w:cs="Calibri"/>
          <w:b/>
          <w:noProof/>
          <w:sz w:val="22"/>
          <w:szCs w:val="22"/>
          <w14:ligatures w14:val="standardContextual"/>
        </w:rPr>
        <w:pict>
          <v:rect id="_x0000_i1031" alt="" style="width:468pt;height:.05pt;mso-width-percent:0;mso-height-percent:0;mso-width-percent:0;mso-height-percent:0" o:hralign="center" o:hrstd="t" o:hr="t" fillcolor="#a0a0a0" stroked="f"/>
        </w:pict>
      </w:r>
    </w:p>
    <w:p w:rsidR="00850C27" w:rsidRPr="00850C27" w:rsidRDefault="00850C27" w:rsidP="00850C27">
      <w:pPr>
        <w:rPr>
          <w:rFonts w:ascii="Calibri" w:hAnsi="Calibri" w:cs="Calibri"/>
          <w:b/>
          <w:bCs/>
          <w:sz w:val="22"/>
          <w:szCs w:val="22"/>
        </w:rPr>
      </w:pPr>
      <w:r w:rsidRPr="00850C27">
        <w:rPr>
          <w:rFonts w:ascii="Calibri" w:hAnsi="Calibri" w:cs="Calibri"/>
          <w:b/>
          <w:bCs/>
          <w:sz w:val="22"/>
          <w:szCs w:val="22"/>
        </w:rPr>
        <w:t>1. The City Experienced a Temporary Boom (2021–2023)</w:t>
      </w:r>
    </w:p>
    <w:p w:rsidR="00850C27" w:rsidRDefault="00850C27" w:rsidP="00850C27">
      <w:pPr>
        <w:rPr>
          <w:rFonts w:ascii="Calibri" w:hAnsi="Calibri" w:cs="Calibri"/>
          <w:sz w:val="22"/>
          <w:szCs w:val="22"/>
        </w:rPr>
      </w:pPr>
      <w:r w:rsidRPr="00850C27">
        <w:rPr>
          <w:rFonts w:ascii="Calibri" w:hAnsi="Calibri" w:cs="Calibri"/>
          <w:sz w:val="22"/>
          <w:szCs w:val="22"/>
        </w:rPr>
        <w:t>From FY 2020–21 through FY 2022–23, the City benefited from unusually strong growth in property values and development. Appraised values increased rapidly, and property tax revenue rose by more than 19% over two years.</w:t>
      </w:r>
    </w:p>
    <w:p w:rsidR="00850C27" w:rsidRDefault="00850C27" w:rsidP="00850C27">
      <w:pPr>
        <w:rPr>
          <w:rFonts w:ascii="Calibri" w:hAnsi="Calibri" w:cs="Calibri"/>
          <w:sz w:val="22"/>
          <w:szCs w:val="22"/>
        </w:rPr>
      </w:pPr>
    </w:p>
    <w:tbl>
      <w:tblPr>
        <w:tblStyle w:val="TableGrid"/>
        <w:tblW w:w="9535" w:type="dxa"/>
        <w:tblLook w:val="04A0" w:firstRow="1" w:lastRow="0" w:firstColumn="1" w:lastColumn="0" w:noHBand="0" w:noVBand="1"/>
      </w:tblPr>
      <w:tblGrid>
        <w:gridCol w:w="2335"/>
        <w:gridCol w:w="2790"/>
        <w:gridCol w:w="2700"/>
        <w:gridCol w:w="1710"/>
      </w:tblGrid>
      <w:tr w:rsidR="00850C27" w:rsidRPr="00B27BE4" w:rsidTr="001B2B11">
        <w:tc>
          <w:tcPr>
            <w:tcW w:w="2335"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Fiscal Year</w:t>
            </w:r>
          </w:p>
        </w:tc>
        <w:tc>
          <w:tcPr>
            <w:tcW w:w="2790" w:type="dxa"/>
          </w:tcPr>
          <w:p w:rsidR="00850C27" w:rsidRDefault="00850C27" w:rsidP="001B2B11">
            <w:pPr>
              <w:rPr>
                <w:rFonts w:ascii="Calibri" w:hAnsi="Calibri" w:cs="Calibri"/>
                <w:b/>
                <w:bCs/>
                <w:sz w:val="22"/>
                <w:szCs w:val="22"/>
              </w:rPr>
            </w:pPr>
            <w:r>
              <w:rPr>
                <w:rFonts w:ascii="Calibri" w:hAnsi="Calibri" w:cs="Calibri"/>
                <w:b/>
                <w:bCs/>
                <w:sz w:val="22"/>
                <w:szCs w:val="22"/>
              </w:rPr>
              <w:t xml:space="preserve">Home Property </w:t>
            </w:r>
          </w:p>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Appraised Value</w:t>
            </w:r>
          </w:p>
        </w:tc>
        <w:tc>
          <w:tcPr>
            <w:tcW w:w="2700"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 xml:space="preserve">$ Increase from </w:t>
            </w:r>
          </w:p>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Prior Year</w:t>
            </w:r>
          </w:p>
        </w:tc>
        <w:tc>
          <w:tcPr>
            <w:tcW w:w="1710"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 Increase</w:t>
            </w:r>
          </w:p>
        </w:tc>
      </w:tr>
      <w:tr w:rsidR="00850C27" w:rsidRPr="00B27BE4" w:rsidTr="001B2B11">
        <w:tc>
          <w:tcPr>
            <w:tcW w:w="2335"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 xml:space="preserve">FY 2020–21 </w:t>
            </w:r>
          </w:p>
        </w:tc>
        <w:tc>
          <w:tcPr>
            <w:tcW w:w="279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$3,906,217,828</w:t>
            </w:r>
          </w:p>
        </w:tc>
        <w:tc>
          <w:tcPr>
            <w:tcW w:w="270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w:t>
            </w:r>
          </w:p>
        </w:tc>
        <w:tc>
          <w:tcPr>
            <w:tcW w:w="171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w:t>
            </w:r>
          </w:p>
        </w:tc>
      </w:tr>
      <w:tr w:rsidR="00850C27" w:rsidRPr="00B27BE4" w:rsidTr="001B2B11">
        <w:tc>
          <w:tcPr>
            <w:tcW w:w="2335"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 xml:space="preserve">FY 2021–22 </w:t>
            </w:r>
          </w:p>
        </w:tc>
        <w:tc>
          <w:tcPr>
            <w:tcW w:w="279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$4,068,009,738</w:t>
            </w:r>
          </w:p>
        </w:tc>
        <w:tc>
          <w:tcPr>
            <w:tcW w:w="270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$161,791,910</w:t>
            </w:r>
          </w:p>
        </w:tc>
        <w:tc>
          <w:tcPr>
            <w:tcW w:w="171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4.14%</w:t>
            </w:r>
          </w:p>
        </w:tc>
      </w:tr>
      <w:tr w:rsidR="00850C27" w:rsidRPr="00B27BE4" w:rsidTr="001B2B11">
        <w:tc>
          <w:tcPr>
            <w:tcW w:w="2335"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2022–23</w:t>
            </w:r>
          </w:p>
        </w:tc>
        <w:tc>
          <w:tcPr>
            <w:tcW w:w="279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$4,802,195,802</w:t>
            </w:r>
          </w:p>
        </w:tc>
        <w:tc>
          <w:tcPr>
            <w:tcW w:w="270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$734,186,064</w:t>
            </w:r>
          </w:p>
        </w:tc>
        <w:tc>
          <w:tcPr>
            <w:tcW w:w="171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18.05%</w:t>
            </w:r>
          </w:p>
        </w:tc>
      </w:tr>
      <w:tr w:rsidR="00850C27" w:rsidRPr="00B27BE4" w:rsidTr="001B2B11">
        <w:tc>
          <w:tcPr>
            <w:tcW w:w="2335"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2023–24</w:t>
            </w:r>
          </w:p>
        </w:tc>
        <w:tc>
          <w:tcPr>
            <w:tcW w:w="279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$5,440,641,228</w:t>
            </w:r>
          </w:p>
        </w:tc>
        <w:tc>
          <w:tcPr>
            <w:tcW w:w="270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$638,445,426</w:t>
            </w:r>
          </w:p>
        </w:tc>
        <w:tc>
          <w:tcPr>
            <w:tcW w:w="171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13.29%</w:t>
            </w:r>
          </w:p>
        </w:tc>
      </w:tr>
      <w:tr w:rsidR="00850C27" w:rsidRPr="00B27BE4" w:rsidTr="001B2B11">
        <w:tc>
          <w:tcPr>
            <w:tcW w:w="2335"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2024–25</w:t>
            </w:r>
          </w:p>
        </w:tc>
        <w:tc>
          <w:tcPr>
            <w:tcW w:w="279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$5,645,026,665</w:t>
            </w:r>
          </w:p>
        </w:tc>
        <w:tc>
          <w:tcPr>
            <w:tcW w:w="270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$204,385,437</w:t>
            </w:r>
          </w:p>
        </w:tc>
        <w:tc>
          <w:tcPr>
            <w:tcW w:w="171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3.76%</w:t>
            </w:r>
          </w:p>
        </w:tc>
      </w:tr>
      <w:tr w:rsidR="00850C27" w:rsidRPr="00B27BE4" w:rsidTr="001B2B11">
        <w:tc>
          <w:tcPr>
            <w:tcW w:w="2335"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2025–26</w:t>
            </w:r>
          </w:p>
        </w:tc>
        <w:tc>
          <w:tcPr>
            <w:tcW w:w="279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$5,734,815,455</w:t>
            </w:r>
          </w:p>
        </w:tc>
        <w:tc>
          <w:tcPr>
            <w:tcW w:w="270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$89,788,790</w:t>
            </w:r>
          </w:p>
        </w:tc>
        <w:tc>
          <w:tcPr>
            <w:tcW w:w="171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1.59%</w:t>
            </w:r>
          </w:p>
        </w:tc>
      </w:tr>
    </w:tbl>
    <w:p w:rsidR="00850C27" w:rsidRDefault="00850C27" w:rsidP="00850C27">
      <w:pPr>
        <w:rPr>
          <w:rFonts w:ascii="Calibri" w:hAnsi="Calibri" w:cs="Calibri"/>
          <w:sz w:val="22"/>
          <w:szCs w:val="22"/>
        </w:rPr>
      </w:pPr>
    </w:p>
    <w:p w:rsidR="00850C27" w:rsidRPr="00850C27" w:rsidRDefault="00850C27" w:rsidP="00850C27">
      <w:pPr>
        <w:rPr>
          <w:rFonts w:ascii="Calibri" w:hAnsi="Calibri" w:cs="Calibri"/>
          <w:sz w:val="22"/>
          <w:szCs w:val="22"/>
        </w:rPr>
      </w:pPr>
      <w:r w:rsidRPr="00850C27">
        <w:rPr>
          <w:rFonts w:ascii="Calibri" w:hAnsi="Calibri" w:cs="Calibri"/>
          <w:sz w:val="22"/>
          <w:szCs w:val="22"/>
        </w:rPr>
        <w:t>This period created a temporary “windfall” that supported service expansion and tax rate reductions. However, this growth was driven largely by market conditions and was not permanent.</w:t>
      </w:r>
    </w:p>
    <w:p w:rsidR="00850C27" w:rsidRPr="00850C27" w:rsidRDefault="003356F3" w:rsidP="00850C27">
      <w:pPr>
        <w:rPr>
          <w:rFonts w:ascii="Calibri" w:hAnsi="Calibri" w:cs="Calibri"/>
          <w:b/>
          <w:bCs/>
          <w:sz w:val="22"/>
          <w:szCs w:val="22"/>
        </w:rPr>
      </w:pPr>
      <w:r w:rsidRPr="003356F3">
        <w:rPr>
          <w:rFonts w:ascii="Calibri" w:hAnsi="Calibri" w:cs="Calibri"/>
          <w:b/>
          <w:noProof/>
          <w:sz w:val="22"/>
          <w:szCs w:val="22"/>
          <w14:ligatures w14:val="standardContextual"/>
        </w:rPr>
        <w:pict>
          <v:rect id="_x0000_i1030" alt="" style="width:468pt;height:.05pt;mso-width-percent:0;mso-height-percent:0;mso-width-percent:0;mso-height-percent:0" o:hralign="center" o:hrstd="t" o:hr="t" fillcolor="#a0a0a0" stroked="f"/>
        </w:pict>
      </w:r>
    </w:p>
    <w:p w:rsidR="00850C27" w:rsidRPr="00850C27" w:rsidRDefault="00850C27" w:rsidP="00850C27">
      <w:pPr>
        <w:rPr>
          <w:rFonts w:ascii="Calibri" w:hAnsi="Calibri" w:cs="Calibri"/>
          <w:b/>
          <w:bCs/>
          <w:sz w:val="22"/>
          <w:szCs w:val="22"/>
        </w:rPr>
      </w:pPr>
      <w:r w:rsidRPr="00850C27">
        <w:rPr>
          <w:rFonts w:ascii="Calibri" w:hAnsi="Calibri" w:cs="Calibri"/>
          <w:b/>
          <w:bCs/>
          <w:sz w:val="22"/>
          <w:szCs w:val="22"/>
        </w:rPr>
        <w:t>2. Revenue Declined When Growth Slowed (2023–2025)</w:t>
      </w:r>
    </w:p>
    <w:p w:rsidR="00850C27" w:rsidRDefault="00850C27" w:rsidP="00850C27">
      <w:pPr>
        <w:rPr>
          <w:rFonts w:ascii="Calibri" w:hAnsi="Calibri" w:cs="Calibri"/>
          <w:sz w:val="22"/>
          <w:szCs w:val="22"/>
        </w:rPr>
      </w:pPr>
    </w:p>
    <w:p w:rsidR="00850C27" w:rsidRPr="00850C27" w:rsidRDefault="00850C27" w:rsidP="00850C27">
      <w:pPr>
        <w:rPr>
          <w:rFonts w:ascii="Calibri" w:hAnsi="Calibri" w:cs="Calibri"/>
          <w:sz w:val="22"/>
          <w:szCs w:val="22"/>
        </w:rPr>
      </w:pPr>
      <w:r w:rsidRPr="00850C27">
        <w:rPr>
          <w:rFonts w:ascii="Calibri" w:hAnsi="Calibri" w:cs="Calibri"/>
          <w:sz w:val="22"/>
          <w:szCs w:val="22"/>
        </w:rPr>
        <w:t>After FY 2022–23, appraisal growth slowed sharply, and development activity weakened. As a result, property tax revenue fell for two consecutive years:</w:t>
      </w:r>
    </w:p>
    <w:p w:rsidR="00850C27" w:rsidRPr="00850C27" w:rsidRDefault="00850C27" w:rsidP="00850C27">
      <w:pPr>
        <w:numPr>
          <w:ilvl w:val="0"/>
          <w:numId w:val="38"/>
        </w:numPr>
        <w:rPr>
          <w:rFonts w:ascii="Calibri" w:hAnsi="Calibri" w:cs="Calibri"/>
          <w:sz w:val="22"/>
          <w:szCs w:val="22"/>
        </w:rPr>
      </w:pPr>
      <w:r w:rsidRPr="00850C27">
        <w:rPr>
          <w:rFonts w:ascii="Calibri" w:hAnsi="Calibri" w:cs="Calibri"/>
          <w:sz w:val="22"/>
          <w:szCs w:val="22"/>
        </w:rPr>
        <w:t>FY 2023–24: −10.9%</w:t>
      </w:r>
    </w:p>
    <w:p w:rsidR="00850C27" w:rsidRPr="00850C27" w:rsidRDefault="00850C27" w:rsidP="00850C27">
      <w:pPr>
        <w:numPr>
          <w:ilvl w:val="0"/>
          <w:numId w:val="38"/>
        </w:numPr>
        <w:rPr>
          <w:rFonts w:ascii="Calibri" w:hAnsi="Calibri" w:cs="Calibri"/>
          <w:sz w:val="22"/>
          <w:szCs w:val="22"/>
        </w:rPr>
      </w:pPr>
      <w:r w:rsidRPr="00850C27">
        <w:rPr>
          <w:rFonts w:ascii="Calibri" w:hAnsi="Calibri" w:cs="Calibri"/>
          <w:sz w:val="22"/>
          <w:szCs w:val="22"/>
        </w:rPr>
        <w:t>FY 2024–25: −27.4%</w:t>
      </w:r>
    </w:p>
    <w:p w:rsidR="00850C27" w:rsidRDefault="00850C27" w:rsidP="00850C27">
      <w:pPr>
        <w:rPr>
          <w:rFonts w:ascii="Calibri" w:hAnsi="Calibri" w:cs="Calibri"/>
          <w:sz w:val="22"/>
          <w:szCs w:val="22"/>
        </w:rPr>
      </w:pPr>
    </w:p>
    <w:p w:rsidR="00850C27" w:rsidRDefault="00850C27" w:rsidP="00850C27">
      <w:pPr>
        <w:rPr>
          <w:rFonts w:ascii="Calibri" w:hAnsi="Calibri" w:cs="Calibri"/>
          <w:sz w:val="22"/>
          <w:szCs w:val="22"/>
        </w:rPr>
      </w:pPr>
      <w:r w:rsidRPr="00850C27">
        <w:rPr>
          <w:rFonts w:ascii="Calibri" w:hAnsi="Calibri" w:cs="Calibri"/>
          <w:sz w:val="22"/>
          <w:szCs w:val="22"/>
        </w:rPr>
        <w:t>In two years, the City lost nearly $11.5 million in annual property tax revenue. This reduced financial flexibility and increased pressure on reserves and other funding sources.</w:t>
      </w:r>
    </w:p>
    <w:p w:rsidR="00850C27" w:rsidRDefault="00850C27" w:rsidP="00850C27">
      <w:pPr>
        <w:rPr>
          <w:rFonts w:ascii="Calibri" w:hAnsi="Calibri" w:cs="Calibri"/>
          <w:sz w:val="22"/>
          <w:szCs w:val="22"/>
        </w:rPr>
      </w:pPr>
    </w:p>
    <w:p w:rsidR="00850C27" w:rsidRPr="00B27BE4" w:rsidRDefault="00850C27" w:rsidP="00850C27">
      <w:pPr>
        <w:rPr>
          <w:rFonts w:ascii="Calibri" w:hAnsi="Calibri" w:cs="Calibri"/>
          <w:i/>
          <w:iCs/>
          <w:sz w:val="22"/>
          <w:szCs w:val="22"/>
        </w:rPr>
      </w:pPr>
      <w:r w:rsidRPr="00B27BE4">
        <w:rPr>
          <w:rFonts w:ascii="Calibri" w:hAnsi="Calibri" w:cs="Calibri"/>
          <w:i/>
          <w:iCs/>
          <w:sz w:val="22"/>
          <w:szCs w:val="22"/>
        </w:rPr>
        <w:t>The city benefited from a temporary “windfall period” when property values jumped unusually fast. That pace is now normalizing.</w:t>
      </w:r>
    </w:p>
    <w:p w:rsidR="00850C27" w:rsidRPr="00B27BE4" w:rsidRDefault="00850C27" w:rsidP="00850C27">
      <w:pPr>
        <w:rPr>
          <w:rFonts w:ascii="Calibri" w:hAnsi="Calibri" w:cs="Calibri"/>
          <w:b/>
          <w:bCs/>
          <w:sz w:val="22"/>
          <w:szCs w:val="22"/>
        </w:rPr>
      </w:pPr>
    </w:p>
    <w:tbl>
      <w:tblPr>
        <w:tblStyle w:val="TableGrid"/>
        <w:tblW w:w="9535" w:type="dxa"/>
        <w:tblLook w:val="04A0" w:firstRow="1" w:lastRow="0" w:firstColumn="1" w:lastColumn="0" w:noHBand="0" w:noVBand="1"/>
      </w:tblPr>
      <w:tblGrid>
        <w:gridCol w:w="2335"/>
        <w:gridCol w:w="2790"/>
        <w:gridCol w:w="2700"/>
        <w:gridCol w:w="1710"/>
      </w:tblGrid>
      <w:tr w:rsidR="00850C27" w:rsidRPr="00B27BE4" w:rsidTr="001B2B11">
        <w:tc>
          <w:tcPr>
            <w:tcW w:w="2335"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Fiscal Year</w:t>
            </w:r>
          </w:p>
        </w:tc>
        <w:tc>
          <w:tcPr>
            <w:tcW w:w="2790"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Property Tax Revenue</w:t>
            </w:r>
          </w:p>
        </w:tc>
        <w:tc>
          <w:tcPr>
            <w:tcW w:w="2700"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 xml:space="preserve">$ Increase from </w:t>
            </w:r>
          </w:p>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Prior Year</w:t>
            </w:r>
          </w:p>
        </w:tc>
        <w:tc>
          <w:tcPr>
            <w:tcW w:w="1710"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 Increase</w:t>
            </w:r>
          </w:p>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Prior Year</w:t>
            </w:r>
          </w:p>
        </w:tc>
      </w:tr>
      <w:tr w:rsidR="00850C27" w:rsidRPr="00B27BE4" w:rsidTr="001B2B11">
        <w:tc>
          <w:tcPr>
            <w:tcW w:w="2335"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 xml:space="preserve">FY 2020–21 </w:t>
            </w:r>
          </w:p>
        </w:tc>
        <w:tc>
          <w:tcPr>
            <w:tcW w:w="2790" w:type="dxa"/>
          </w:tcPr>
          <w:p w:rsidR="00850C27" w:rsidRPr="00B27BE4" w:rsidRDefault="00850C27" w:rsidP="001B2B11">
            <w:pPr>
              <w:rPr>
                <w:rFonts w:ascii="Calibri" w:hAnsi="Calibri" w:cs="Calibri"/>
                <w:b/>
                <w:bCs/>
                <w:color w:val="000000"/>
                <w:sz w:val="22"/>
                <w:szCs w:val="22"/>
              </w:rPr>
            </w:pPr>
            <w:r w:rsidRPr="00B27BE4">
              <w:rPr>
                <w:rFonts w:ascii="Calibri" w:hAnsi="Calibri" w:cs="Calibri"/>
                <w:b/>
                <w:bCs/>
                <w:color w:val="000000"/>
                <w:sz w:val="22"/>
                <w:szCs w:val="22"/>
              </w:rPr>
              <w:t>$27,294,411</w:t>
            </w:r>
          </w:p>
        </w:tc>
        <w:tc>
          <w:tcPr>
            <w:tcW w:w="270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w:t>
            </w:r>
          </w:p>
        </w:tc>
        <w:tc>
          <w:tcPr>
            <w:tcW w:w="171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w:t>
            </w:r>
          </w:p>
        </w:tc>
      </w:tr>
      <w:tr w:rsidR="00850C27" w:rsidRPr="00B27BE4" w:rsidTr="001B2B11">
        <w:tc>
          <w:tcPr>
            <w:tcW w:w="2335"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 xml:space="preserve">FY 2021–22 </w:t>
            </w:r>
          </w:p>
        </w:tc>
        <w:tc>
          <w:tcPr>
            <w:tcW w:w="2790" w:type="dxa"/>
          </w:tcPr>
          <w:p w:rsidR="00850C27" w:rsidRPr="00B27BE4" w:rsidRDefault="00850C27" w:rsidP="001B2B11">
            <w:pPr>
              <w:rPr>
                <w:rFonts w:ascii="Calibri" w:hAnsi="Calibri" w:cs="Calibri"/>
                <w:b/>
                <w:bCs/>
                <w:color w:val="000000"/>
                <w:sz w:val="22"/>
                <w:szCs w:val="22"/>
              </w:rPr>
            </w:pPr>
            <w:r w:rsidRPr="00B27BE4">
              <w:rPr>
                <w:rFonts w:ascii="Calibri" w:hAnsi="Calibri" w:cs="Calibri"/>
                <w:b/>
                <w:bCs/>
                <w:color w:val="000000"/>
                <w:sz w:val="22"/>
                <w:szCs w:val="22"/>
              </w:rPr>
              <w:t>$28,794,951</w:t>
            </w:r>
          </w:p>
        </w:tc>
        <w:tc>
          <w:tcPr>
            <w:tcW w:w="270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$1,500,540</w:t>
            </w:r>
          </w:p>
        </w:tc>
        <w:tc>
          <w:tcPr>
            <w:tcW w:w="171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5.50%</w:t>
            </w:r>
          </w:p>
        </w:tc>
      </w:tr>
      <w:tr w:rsidR="00850C27" w:rsidRPr="00B27BE4" w:rsidTr="001B2B11">
        <w:tc>
          <w:tcPr>
            <w:tcW w:w="2335"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2022–23</w:t>
            </w:r>
          </w:p>
        </w:tc>
        <w:tc>
          <w:tcPr>
            <w:tcW w:w="2790" w:type="dxa"/>
          </w:tcPr>
          <w:p w:rsidR="00850C27" w:rsidRPr="00B27BE4" w:rsidRDefault="00850C27" w:rsidP="001B2B11">
            <w:pPr>
              <w:rPr>
                <w:rFonts w:ascii="Calibri" w:hAnsi="Calibri" w:cs="Calibri"/>
                <w:b/>
                <w:bCs/>
                <w:color w:val="000000"/>
                <w:sz w:val="22"/>
                <w:szCs w:val="22"/>
              </w:rPr>
            </w:pPr>
            <w:r w:rsidRPr="00B27BE4">
              <w:rPr>
                <w:rFonts w:ascii="Calibri" w:hAnsi="Calibri" w:cs="Calibri"/>
                <w:b/>
                <w:bCs/>
                <w:color w:val="000000"/>
                <w:sz w:val="22"/>
                <w:szCs w:val="22"/>
              </w:rPr>
              <w:t>$32,627,390</w:t>
            </w:r>
          </w:p>
        </w:tc>
        <w:tc>
          <w:tcPr>
            <w:tcW w:w="270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$3,832,439</w:t>
            </w:r>
          </w:p>
        </w:tc>
        <w:tc>
          <w:tcPr>
            <w:tcW w:w="171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13.31%</w:t>
            </w:r>
          </w:p>
        </w:tc>
      </w:tr>
      <w:tr w:rsidR="00850C27" w:rsidRPr="00B27BE4" w:rsidTr="001B2B11">
        <w:tc>
          <w:tcPr>
            <w:tcW w:w="2335"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2023–24</w:t>
            </w:r>
          </w:p>
        </w:tc>
        <w:tc>
          <w:tcPr>
            <w:tcW w:w="2790" w:type="dxa"/>
          </w:tcPr>
          <w:p w:rsidR="00850C27" w:rsidRPr="00B27BE4" w:rsidRDefault="00850C27" w:rsidP="001B2B11">
            <w:pPr>
              <w:rPr>
                <w:rFonts w:ascii="Calibri" w:hAnsi="Calibri" w:cs="Calibri"/>
                <w:b/>
                <w:bCs/>
                <w:color w:val="000000"/>
                <w:sz w:val="22"/>
                <w:szCs w:val="22"/>
              </w:rPr>
            </w:pPr>
            <w:r w:rsidRPr="00B27BE4">
              <w:rPr>
                <w:rFonts w:ascii="Calibri" w:hAnsi="Calibri" w:cs="Calibri"/>
                <w:b/>
                <w:bCs/>
                <w:color w:val="000000"/>
                <w:sz w:val="22"/>
                <w:szCs w:val="22"/>
              </w:rPr>
              <w:t>$29,071,803</w:t>
            </w:r>
          </w:p>
        </w:tc>
        <w:tc>
          <w:tcPr>
            <w:tcW w:w="270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$-3,555,587</w:t>
            </w:r>
          </w:p>
        </w:tc>
        <w:tc>
          <w:tcPr>
            <w:tcW w:w="171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-10.90%</w:t>
            </w:r>
          </w:p>
        </w:tc>
      </w:tr>
      <w:tr w:rsidR="00850C27" w:rsidRPr="00B27BE4" w:rsidTr="001B2B11">
        <w:tc>
          <w:tcPr>
            <w:tcW w:w="2335"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2024–25</w:t>
            </w:r>
          </w:p>
        </w:tc>
        <w:tc>
          <w:tcPr>
            <w:tcW w:w="2790" w:type="dxa"/>
          </w:tcPr>
          <w:p w:rsidR="00850C27" w:rsidRPr="00B27BE4" w:rsidRDefault="00850C27" w:rsidP="001B2B11">
            <w:pPr>
              <w:rPr>
                <w:rFonts w:ascii="Calibri" w:hAnsi="Calibri" w:cs="Calibri"/>
                <w:b/>
                <w:bCs/>
                <w:color w:val="000000"/>
                <w:sz w:val="22"/>
                <w:szCs w:val="22"/>
              </w:rPr>
            </w:pPr>
            <w:r w:rsidRPr="00B27BE4">
              <w:rPr>
                <w:rFonts w:ascii="Calibri" w:hAnsi="Calibri" w:cs="Calibri"/>
                <w:b/>
                <w:bCs/>
                <w:color w:val="000000"/>
                <w:sz w:val="22"/>
                <w:szCs w:val="22"/>
              </w:rPr>
              <w:t>$21,109,377</w:t>
            </w:r>
          </w:p>
        </w:tc>
        <w:tc>
          <w:tcPr>
            <w:tcW w:w="270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$-7,962,426</w:t>
            </w:r>
          </w:p>
        </w:tc>
        <w:tc>
          <w:tcPr>
            <w:tcW w:w="171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-27.39%</w:t>
            </w:r>
          </w:p>
        </w:tc>
      </w:tr>
      <w:tr w:rsidR="00850C27" w:rsidRPr="00B27BE4" w:rsidTr="001B2B11">
        <w:tc>
          <w:tcPr>
            <w:tcW w:w="2335" w:type="dxa"/>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2025–26</w:t>
            </w:r>
          </w:p>
        </w:tc>
        <w:tc>
          <w:tcPr>
            <w:tcW w:w="2790" w:type="dxa"/>
          </w:tcPr>
          <w:p w:rsidR="00850C27" w:rsidRPr="00B27BE4" w:rsidRDefault="00850C27" w:rsidP="001B2B11">
            <w:pPr>
              <w:rPr>
                <w:rFonts w:ascii="Calibri" w:hAnsi="Calibri" w:cs="Calibri"/>
                <w:b/>
                <w:bCs/>
                <w:color w:val="000000"/>
                <w:sz w:val="22"/>
                <w:szCs w:val="22"/>
              </w:rPr>
            </w:pPr>
            <w:r w:rsidRPr="00B27BE4">
              <w:rPr>
                <w:rFonts w:ascii="Calibri" w:hAnsi="Calibri" w:cs="Calibri"/>
                <w:b/>
                <w:bCs/>
                <w:color w:val="000000"/>
                <w:sz w:val="22"/>
                <w:szCs w:val="22"/>
              </w:rPr>
              <w:t>$32,004,288</w:t>
            </w:r>
          </w:p>
        </w:tc>
        <w:tc>
          <w:tcPr>
            <w:tcW w:w="270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$10,894,911</w:t>
            </w:r>
          </w:p>
        </w:tc>
        <w:tc>
          <w:tcPr>
            <w:tcW w:w="1710" w:type="dxa"/>
          </w:tcPr>
          <w:p w:rsidR="00850C27" w:rsidRPr="00B27BE4" w:rsidRDefault="00850C27" w:rsidP="001B2B11">
            <w:pPr>
              <w:rPr>
                <w:rFonts w:ascii="Calibri" w:hAnsi="Calibri" w:cs="Calibri"/>
                <w:sz w:val="22"/>
                <w:szCs w:val="22"/>
              </w:rPr>
            </w:pPr>
            <w:r w:rsidRPr="00B27BE4">
              <w:rPr>
                <w:rFonts w:ascii="Calibri" w:hAnsi="Calibri" w:cs="Calibri"/>
                <w:sz w:val="22"/>
                <w:szCs w:val="22"/>
              </w:rPr>
              <w:t>51.61%</w:t>
            </w:r>
          </w:p>
        </w:tc>
      </w:tr>
    </w:tbl>
    <w:p w:rsidR="00850C27" w:rsidRDefault="00850C27" w:rsidP="00850C27">
      <w:pPr>
        <w:rPr>
          <w:rFonts w:ascii="Calibri" w:hAnsi="Calibri" w:cs="Calibri"/>
          <w:b/>
          <w:bCs/>
          <w:sz w:val="22"/>
          <w:szCs w:val="22"/>
        </w:rPr>
      </w:pPr>
    </w:p>
    <w:p w:rsidR="00850C27" w:rsidRPr="00B27BE4" w:rsidRDefault="00850C27" w:rsidP="00850C27">
      <w:pPr>
        <w:rPr>
          <w:rFonts w:ascii="Calibri" w:hAnsi="Calibri" w:cs="Calibri"/>
          <w:b/>
          <w:bCs/>
          <w:sz w:val="22"/>
          <w:szCs w:val="22"/>
        </w:rPr>
      </w:pPr>
      <w:r w:rsidRPr="00B27BE4">
        <w:rPr>
          <w:rFonts w:ascii="Calibri" w:hAnsi="Calibri" w:cs="Calibri"/>
          <w:b/>
          <w:bCs/>
          <w:sz w:val="22"/>
          <w:szCs w:val="22"/>
        </w:rPr>
        <w:t>The City Lowered the Tax Rate During the Boom — Then Reversed Course</w:t>
      </w:r>
    </w:p>
    <w:p w:rsidR="00850C27" w:rsidRDefault="00850C27" w:rsidP="00850C27">
      <w:pPr>
        <w:rPr>
          <w:rFonts w:ascii="Calibri" w:hAnsi="Calibri" w:cs="Calibri"/>
          <w:sz w:val="22"/>
          <w:szCs w:val="22"/>
        </w:rPr>
      </w:pPr>
    </w:p>
    <w:p w:rsidR="00850C27" w:rsidRPr="00B27BE4" w:rsidRDefault="00850C27" w:rsidP="00850C27">
      <w:pPr>
        <w:rPr>
          <w:rFonts w:ascii="Calibri" w:hAnsi="Calibri" w:cs="Calibri"/>
          <w:i/>
          <w:iCs/>
          <w:sz w:val="22"/>
          <w:szCs w:val="22"/>
        </w:rPr>
      </w:pPr>
      <w:r w:rsidRPr="00B27BE4">
        <w:rPr>
          <w:rFonts w:ascii="Calibri" w:hAnsi="Calibri" w:cs="Calibri"/>
          <w:i/>
          <w:iCs/>
          <w:sz w:val="22"/>
          <w:szCs w:val="22"/>
        </w:rPr>
        <w:lastRenderedPageBreak/>
        <w:t>During high-growth years, Council chose to “buy down” taxes by lowering the rate. Now that valuation growth is slowing, they are raising the rate again to maintain revenue.</w:t>
      </w:r>
    </w:p>
    <w:p w:rsidR="00850C27" w:rsidRPr="00B27BE4" w:rsidRDefault="00850C27" w:rsidP="00850C27">
      <w:pPr>
        <w:rPr>
          <w:rFonts w:ascii="Calibri" w:hAnsi="Calibri" w:cs="Calibri"/>
          <w:b/>
          <w:bCs/>
          <w:sz w:val="22"/>
          <w:szCs w:val="22"/>
        </w:rPr>
      </w:pPr>
    </w:p>
    <w:tbl>
      <w:tblPr>
        <w:tblW w:w="0" w:type="auto"/>
        <w:tblCellSpacing w:w="1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2605"/>
      </w:tblGrid>
      <w:tr w:rsidR="00850C27" w:rsidRPr="00B27BE4" w:rsidTr="001B2B11">
        <w:trPr>
          <w:tblHeader/>
          <w:tblCellSpacing w:w="15" w:type="dxa"/>
        </w:trPr>
        <w:tc>
          <w:tcPr>
            <w:tcW w:w="0" w:type="auto"/>
            <w:vAlign w:val="center"/>
            <w:hideMark/>
          </w:tcPr>
          <w:p w:rsidR="00850C27" w:rsidRPr="00B27BE4" w:rsidRDefault="00850C27" w:rsidP="001B2B11">
            <w:pPr>
              <w:ind w:left="720"/>
              <w:rPr>
                <w:rFonts w:ascii="Calibri" w:hAnsi="Calibri" w:cs="Calibri"/>
                <w:b/>
                <w:bCs/>
                <w:sz w:val="22"/>
                <w:szCs w:val="22"/>
              </w:rPr>
            </w:pPr>
            <w:r w:rsidRPr="00B27BE4">
              <w:rPr>
                <w:rFonts w:ascii="Calibri" w:hAnsi="Calibri" w:cs="Calibri"/>
                <w:b/>
                <w:bCs/>
                <w:sz w:val="22"/>
                <w:szCs w:val="22"/>
              </w:rPr>
              <w:t>Year</w:t>
            </w:r>
          </w:p>
        </w:tc>
        <w:tc>
          <w:tcPr>
            <w:tcW w:w="2560" w:type="dxa"/>
            <w:vAlign w:val="center"/>
            <w:hideMark/>
          </w:tcPr>
          <w:p w:rsidR="00850C27" w:rsidRPr="00B27BE4" w:rsidRDefault="00850C27" w:rsidP="001B2B11">
            <w:pPr>
              <w:ind w:left="720"/>
              <w:rPr>
                <w:rFonts w:ascii="Calibri" w:hAnsi="Calibri" w:cs="Calibri"/>
                <w:b/>
                <w:bCs/>
                <w:sz w:val="22"/>
                <w:szCs w:val="22"/>
              </w:rPr>
            </w:pPr>
            <w:r>
              <w:rPr>
                <w:rFonts w:ascii="Calibri" w:hAnsi="Calibri" w:cs="Calibri"/>
                <w:b/>
                <w:bCs/>
                <w:sz w:val="22"/>
                <w:szCs w:val="22"/>
              </w:rPr>
              <w:t xml:space="preserve">Property Tax </w:t>
            </w:r>
            <w:r w:rsidRPr="00B27BE4">
              <w:rPr>
                <w:rFonts w:ascii="Calibri" w:hAnsi="Calibri" w:cs="Calibri"/>
                <w:b/>
                <w:bCs/>
                <w:sz w:val="22"/>
                <w:szCs w:val="22"/>
              </w:rPr>
              <w:t>Rate</w:t>
            </w:r>
          </w:p>
        </w:tc>
      </w:tr>
      <w:tr w:rsidR="00850C27" w:rsidRPr="00B27BE4" w:rsidTr="001B2B11">
        <w:trPr>
          <w:tblCellSpacing w:w="15" w:type="dxa"/>
        </w:trPr>
        <w:tc>
          <w:tcPr>
            <w:tcW w:w="0" w:type="auto"/>
            <w:hideMark/>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 xml:space="preserve">FY 2020–21 </w:t>
            </w:r>
          </w:p>
        </w:tc>
        <w:tc>
          <w:tcPr>
            <w:tcW w:w="2560" w:type="dxa"/>
            <w:vAlign w:val="center"/>
            <w:hideMark/>
          </w:tcPr>
          <w:p w:rsidR="00850C27" w:rsidRPr="00B27BE4" w:rsidRDefault="00850C27" w:rsidP="001B2B11">
            <w:pPr>
              <w:ind w:left="720"/>
              <w:rPr>
                <w:rFonts w:ascii="Calibri" w:hAnsi="Calibri" w:cs="Calibri"/>
                <w:sz w:val="22"/>
                <w:szCs w:val="22"/>
              </w:rPr>
            </w:pPr>
            <w:r w:rsidRPr="00B27BE4">
              <w:rPr>
                <w:rFonts w:ascii="Calibri" w:hAnsi="Calibri" w:cs="Calibri"/>
                <w:sz w:val="22"/>
                <w:szCs w:val="22"/>
              </w:rPr>
              <w:t>$0.5146</w:t>
            </w:r>
          </w:p>
        </w:tc>
      </w:tr>
      <w:tr w:rsidR="00850C27" w:rsidRPr="00B27BE4" w:rsidTr="001B2B11">
        <w:trPr>
          <w:tblCellSpacing w:w="15" w:type="dxa"/>
        </w:trPr>
        <w:tc>
          <w:tcPr>
            <w:tcW w:w="0" w:type="auto"/>
            <w:hideMark/>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 xml:space="preserve">FY 2021–22 </w:t>
            </w:r>
          </w:p>
        </w:tc>
        <w:tc>
          <w:tcPr>
            <w:tcW w:w="2560" w:type="dxa"/>
            <w:vAlign w:val="center"/>
            <w:hideMark/>
          </w:tcPr>
          <w:p w:rsidR="00850C27" w:rsidRPr="00B27BE4" w:rsidRDefault="00850C27" w:rsidP="001B2B11">
            <w:pPr>
              <w:ind w:left="720"/>
              <w:rPr>
                <w:rFonts w:ascii="Calibri" w:hAnsi="Calibri" w:cs="Calibri"/>
                <w:sz w:val="22"/>
                <w:szCs w:val="22"/>
              </w:rPr>
            </w:pPr>
            <w:r w:rsidRPr="00B27BE4">
              <w:rPr>
                <w:rFonts w:ascii="Calibri" w:hAnsi="Calibri" w:cs="Calibri"/>
                <w:sz w:val="22"/>
                <w:szCs w:val="22"/>
              </w:rPr>
              <w:t>$0.5121</w:t>
            </w:r>
          </w:p>
        </w:tc>
      </w:tr>
      <w:tr w:rsidR="00850C27" w:rsidRPr="00B27BE4" w:rsidTr="001B2B11">
        <w:trPr>
          <w:tblCellSpacing w:w="15" w:type="dxa"/>
        </w:trPr>
        <w:tc>
          <w:tcPr>
            <w:tcW w:w="0" w:type="auto"/>
            <w:hideMark/>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2022–23</w:t>
            </w:r>
          </w:p>
        </w:tc>
        <w:tc>
          <w:tcPr>
            <w:tcW w:w="2560" w:type="dxa"/>
            <w:vAlign w:val="center"/>
            <w:hideMark/>
          </w:tcPr>
          <w:p w:rsidR="00850C27" w:rsidRPr="00B27BE4" w:rsidRDefault="00850C27" w:rsidP="001B2B11">
            <w:pPr>
              <w:ind w:left="720"/>
              <w:rPr>
                <w:rFonts w:ascii="Calibri" w:hAnsi="Calibri" w:cs="Calibri"/>
                <w:sz w:val="22"/>
                <w:szCs w:val="22"/>
              </w:rPr>
            </w:pPr>
            <w:r w:rsidRPr="00B27BE4">
              <w:rPr>
                <w:rFonts w:ascii="Calibri" w:hAnsi="Calibri" w:cs="Calibri"/>
                <w:sz w:val="22"/>
                <w:szCs w:val="22"/>
              </w:rPr>
              <w:t>$0.4950</w:t>
            </w:r>
          </w:p>
        </w:tc>
      </w:tr>
      <w:tr w:rsidR="00850C27" w:rsidRPr="00B27BE4" w:rsidTr="001B2B11">
        <w:trPr>
          <w:tblCellSpacing w:w="15" w:type="dxa"/>
        </w:trPr>
        <w:tc>
          <w:tcPr>
            <w:tcW w:w="0" w:type="auto"/>
            <w:hideMark/>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2023–24</w:t>
            </w:r>
          </w:p>
        </w:tc>
        <w:tc>
          <w:tcPr>
            <w:tcW w:w="2560" w:type="dxa"/>
            <w:vAlign w:val="center"/>
            <w:hideMark/>
          </w:tcPr>
          <w:p w:rsidR="00850C27" w:rsidRPr="00B27BE4" w:rsidRDefault="00850C27" w:rsidP="001B2B11">
            <w:pPr>
              <w:ind w:left="720"/>
              <w:rPr>
                <w:rFonts w:ascii="Calibri" w:hAnsi="Calibri" w:cs="Calibri"/>
                <w:sz w:val="22"/>
                <w:szCs w:val="22"/>
              </w:rPr>
            </w:pPr>
            <w:r w:rsidRPr="00B27BE4">
              <w:rPr>
                <w:rFonts w:ascii="Calibri" w:hAnsi="Calibri" w:cs="Calibri"/>
                <w:sz w:val="22"/>
                <w:szCs w:val="22"/>
              </w:rPr>
              <w:t>$0.4872</w:t>
            </w:r>
          </w:p>
        </w:tc>
      </w:tr>
      <w:tr w:rsidR="00850C27" w:rsidRPr="00B27BE4" w:rsidTr="001B2B11">
        <w:trPr>
          <w:tblCellSpacing w:w="15" w:type="dxa"/>
        </w:trPr>
        <w:tc>
          <w:tcPr>
            <w:tcW w:w="0" w:type="auto"/>
            <w:hideMark/>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2024–25</w:t>
            </w:r>
          </w:p>
        </w:tc>
        <w:tc>
          <w:tcPr>
            <w:tcW w:w="2560" w:type="dxa"/>
            <w:vAlign w:val="center"/>
            <w:hideMark/>
          </w:tcPr>
          <w:p w:rsidR="00850C27" w:rsidRPr="00B27BE4" w:rsidRDefault="00850C27" w:rsidP="001B2B11">
            <w:pPr>
              <w:ind w:left="720"/>
              <w:rPr>
                <w:rFonts w:ascii="Calibri" w:hAnsi="Calibri" w:cs="Calibri"/>
                <w:sz w:val="22"/>
                <w:szCs w:val="22"/>
              </w:rPr>
            </w:pPr>
            <w:r w:rsidRPr="00B27BE4">
              <w:rPr>
                <w:rFonts w:ascii="Calibri" w:hAnsi="Calibri" w:cs="Calibri"/>
                <w:sz w:val="22"/>
                <w:szCs w:val="22"/>
              </w:rPr>
              <w:t>$0.4900</w:t>
            </w:r>
          </w:p>
        </w:tc>
      </w:tr>
      <w:tr w:rsidR="00850C27" w:rsidRPr="00B27BE4" w:rsidTr="001B2B11">
        <w:trPr>
          <w:tblCellSpacing w:w="15" w:type="dxa"/>
        </w:trPr>
        <w:tc>
          <w:tcPr>
            <w:tcW w:w="0" w:type="auto"/>
            <w:hideMark/>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2025–26</w:t>
            </w:r>
          </w:p>
        </w:tc>
        <w:tc>
          <w:tcPr>
            <w:tcW w:w="2560" w:type="dxa"/>
            <w:vAlign w:val="center"/>
            <w:hideMark/>
          </w:tcPr>
          <w:p w:rsidR="00850C27" w:rsidRPr="00B27BE4" w:rsidRDefault="00850C27" w:rsidP="001B2B11">
            <w:pPr>
              <w:ind w:left="720"/>
              <w:rPr>
                <w:rFonts w:ascii="Calibri" w:hAnsi="Calibri" w:cs="Calibri"/>
                <w:sz w:val="22"/>
                <w:szCs w:val="22"/>
              </w:rPr>
            </w:pPr>
            <w:r w:rsidRPr="00B27BE4">
              <w:rPr>
                <w:rFonts w:ascii="Calibri" w:hAnsi="Calibri" w:cs="Calibri"/>
                <w:sz w:val="22"/>
                <w:szCs w:val="22"/>
              </w:rPr>
              <w:t>$0.5118</w:t>
            </w:r>
          </w:p>
        </w:tc>
      </w:tr>
    </w:tbl>
    <w:p w:rsidR="00850C27" w:rsidRPr="00850C27" w:rsidRDefault="00850C27" w:rsidP="00850C27">
      <w:pPr>
        <w:rPr>
          <w:rFonts w:ascii="Calibri" w:hAnsi="Calibri" w:cs="Calibri"/>
          <w:sz w:val="22"/>
          <w:szCs w:val="22"/>
        </w:rPr>
      </w:pPr>
    </w:p>
    <w:p w:rsidR="00850C27" w:rsidRPr="00850C27" w:rsidRDefault="003356F3" w:rsidP="00850C27">
      <w:pPr>
        <w:rPr>
          <w:rFonts w:ascii="Calibri" w:hAnsi="Calibri" w:cs="Calibri"/>
          <w:b/>
          <w:bCs/>
          <w:sz w:val="22"/>
          <w:szCs w:val="22"/>
        </w:rPr>
      </w:pPr>
      <w:r w:rsidRPr="003356F3">
        <w:rPr>
          <w:rFonts w:ascii="Calibri" w:hAnsi="Calibri" w:cs="Calibri"/>
          <w:b/>
          <w:bCs/>
          <w:noProof/>
          <w:sz w:val="22"/>
          <w:szCs w:val="22"/>
          <w14:ligatures w14:val="standardContextual"/>
        </w:rPr>
        <w:pict>
          <v:rect id="_x0000_i1029" alt="" style="width:468pt;height:.05pt;mso-width-percent:0;mso-height-percent:0;mso-width-percent:0;mso-height-percent:0" o:hralign="center" o:hrstd="t" o:hr="t" fillcolor="#a0a0a0" stroked="f"/>
        </w:pict>
      </w:r>
    </w:p>
    <w:p w:rsidR="00850C27" w:rsidRPr="00850C27" w:rsidRDefault="00850C27" w:rsidP="00850C27">
      <w:pPr>
        <w:rPr>
          <w:rFonts w:ascii="Calibri" w:hAnsi="Calibri" w:cs="Calibri"/>
          <w:b/>
          <w:bCs/>
          <w:sz w:val="22"/>
          <w:szCs w:val="22"/>
        </w:rPr>
      </w:pPr>
      <w:r w:rsidRPr="00850C27">
        <w:rPr>
          <w:rFonts w:ascii="Calibri" w:hAnsi="Calibri" w:cs="Calibri"/>
          <w:b/>
          <w:bCs/>
          <w:sz w:val="22"/>
          <w:szCs w:val="22"/>
        </w:rPr>
        <w:t>3. The FY 2025–26 Budget Assumes a Major Rebound</w:t>
      </w:r>
    </w:p>
    <w:p w:rsidR="00850C27" w:rsidRDefault="00850C27" w:rsidP="00850C27">
      <w:pPr>
        <w:rPr>
          <w:rFonts w:ascii="Calibri" w:hAnsi="Calibri" w:cs="Calibri"/>
          <w:sz w:val="22"/>
          <w:szCs w:val="22"/>
        </w:rPr>
      </w:pPr>
    </w:p>
    <w:p w:rsidR="00850C27" w:rsidRPr="00850C27" w:rsidRDefault="00850C27" w:rsidP="00850C27">
      <w:pPr>
        <w:rPr>
          <w:rFonts w:ascii="Calibri" w:hAnsi="Calibri" w:cs="Calibri"/>
          <w:sz w:val="22"/>
          <w:szCs w:val="22"/>
        </w:rPr>
      </w:pPr>
      <w:r w:rsidRPr="00850C27">
        <w:rPr>
          <w:rFonts w:ascii="Calibri" w:hAnsi="Calibri" w:cs="Calibri"/>
          <w:sz w:val="22"/>
          <w:szCs w:val="22"/>
        </w:rPr>
        <w:t>The current budget projects a 51.6% increase in property tax revenue, driven by higher tax rates, improved valuations, and anticipated development.</w:t>
      </w:r>
    </w:p>
    <w:p w:rsidR="00850C27" w:rsidRPr="00850C27" w:rsidRDefault="00850C27" w:rsidP="00850C27">
      <w:pPr>
        <w:rPr>
          <w:rFonts w:ascii="Calibri" w:hAnsi="Calibri" w:cs="Calibri"/>
          <w:sz w:val="22"/>
          <w:szCs w:val="22"/>
        </w:rPr>
      </w:pPr>
      <w:r w:rsidRPr="00850C27">
        <w:rPr>
          <w:rFonts w:ascii="Calibri" w:hAnsi="Calibri" w:cs="Calibri"/>
          <w:sz w:val="22"/>
          <w:szCs w:val="22"/>
        </w:rPr>
        <w:t>While a recovery is possible, this level of growth is unusually large and carries risk. If development slows or valuations underperform, revenues may fall short of projections.</w:t>
      </w:r>
    </w:p>
    <w:p w:rsidR="00850C27" w:rsidRPr="00850C27" w:rsidRDefault="003356F3" w:rsidP="00850C27">
      <w:pPr>
        <w:rPr>
          <w:rFonts w:ascii="Calibri" w:hAnsi="Calibri" w:cs="Calibri"/>
          <w:b/>
          <w:bCs/>
          <w:sz w:val="22"/>
          <w:szCs w:val="22"/>
        </w:rPr>
      </w:pPr>
      <w:r w:rsidRPr="003356F3">
        <w:rPr>
          <w:rFonts w:ascii="Calibri" w:hAnsi="Calibri" w:cs="Calibri"/>
          <w:b/>
          <w:bCs/>
          <w:noProof/>
          <w:sz w:val="22"/>
          <w:szCs w:val="22"/>
          <w14:ligatures w14:val="standardContextual"/>
        </w:rPr>
        <w:pict>
          <v:rect id="_x0000_i1028" alt="" style="width:468pt;height:.05pt;mso-width-percent:0;mso-height-percent:0;mso-width-percent:0;mso-height-percent:0" o:hralign="center" o:hrstd="t" o:hr="t" fillcolor="#a0a0a0" stroked="f"/>
        </w:pict>
      </w:r>
    </w:p>
    <w:p w:rsidR="00850C27" w:rsidRPr="00850C27" w:rsidRDefault="00850C27" w:rsidP="00850C27">
      <w:pPr>
        <w:rPr>
          <w:rFonts w:ascii="Calibri" w:hAnsi="Calibri" w:cs="Calibri"/>
          <w:b/>
          <w:bCs/>
          <w:sz w:val="22"/>
          <w:szCs w:val="22"/>
        </w:rPr>
      </w:pPr>
      <w:r w:rsidRPr="00850C27">
        <w:rPr>
          <w:rFonts w:ascii="Calibri" w:hAnsi="Calibri" w:cs="Calibri"/>
          <w:b/>
          <w:bCs/>
          <w:sz w:val="22"/>
          <w:szCs w:val="22"/>
        </w:rPr>
        <w:t>4. Development Revenue Is Important but Unreliable</w:t>
      </w:r>
    </w:p>
    <w:p w:rsidR="00850C27" w:rsidRDefault="00850C27" w:rsidP="00850C27">
      <w:pPr>
        <w:rPr>
          <w:rFonts w:ascii="Calibri" w:hAnsi="Calibri" w:cs="Calibri"/>
          <w:b/>
          <w:bCs/>
          <w:sz w:val="22"/>
          <w:szCs w:val="22"/>
        </w:rPr>
      </w:pPr>
    </w:p>
    <w:p w:rsidR="00850C27" w:rsidRPr="00850C27" w:rsidRDefault="00850C27" w:rsidP="00850C27">
      <w:pPr>
        <w:rPr>
          <w:rFonts w:ascii="Calibri" w:hAnsi="Calibri" w:cs="Calibri"/>
          <w:sz w:val="22"/>
          <w:szCs w:val="22"/>
        </w:rPr>
      </w:pPr>
      <w:r w:rsidRPr="00850C27">
        <w:rPr>
          <w:rFonts w:ascii="Calibri" w:hAnsi="Calibri" w:cs="Calibri"/>
          <w:sz w:val="22"/>
          <w:szCs w:val="22"/>
        </w:rPr>
        <w:t>Revenue from new construction has declined for three years before a projected rebound in FY 2025–26. Development revenue depends on project timing and market conditions and can change quickly.</w:t>
      </w:r>
    </w:p>
    <w:p w:rsidR="00850C27" w:rsidRDefault="00850C27" w:rsidP="00850C27">
      <w:pPr>
        <w:rPr>
          <w:rFonts w:ascii="Calibri" w:hAnsi="Calibri" w:cs="Calibri"/>
          <w:sz w:val="22"/>
          <w:szCs w:val="22"/>
        </w:rPr>
      </w:pPr>
      <w:r w:rsidRPr="00850C27">
        <w:rPr>
          <w:rFonts w:ascii="Calibri" w:hAnsi="Calibri" w:cs="Calibri"/>
          <w:sz w:val="22"/>
          <w:szCs w:val="22"/>
        </w:rPr>
        <w:t>Because of this volatility, it should be treated as variable rather than dependable and should not be used to support permanent spending.</w:t>
      </w:r>
    </w:p>
    <w:p w:rsidR="00850C27" w:rsidRPr="00B27BE4" w:rsidRDefault="00850C27" w:rsidP="00850C27">
      <w:pPr>
        <w:rPr>
          <w:rFonts w:ascii="Calibri" w:hAnsi="Calibri" w:cs="Calibri"/>
          <w:sz w:val="22"/>
          <w:szCs w:val="22"/>
        </w:rPr>
      </w:pPr>
    </w:p>
    <w:p w:rsidR="00850C27" w:rsidRPr="00B27BE4" w:rsidRDefault="00850C27" w:rsidP="00850C27">
      <w:pPr>
        <w:ind w:left="720"/>
        <w:rPr>
          <w:rFonts w:ascii="Calibri" w:hAnsi="Calibri" w:cs="Calibri"/>
          <w:sz w:val="22"/>
          <w:szCs w:val="22"/>
        </w:rPr>
      </w:pPr>
      <w:r w:rsidRPr="00B27BE4">
        <w:rPr>
          <w:rFonts w:ascii="Calibri" w:hAnsi="Calibri" w:cs="Calibri"/>
          <w:sz w:val="22"/>
          <w:szCs w:val="22"/>
        </w:rPr>
        <w:t>Revenue from new property:</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2700"/>
      </w:tblGrid>
      <w:tr w:rsidR="00850C27" w:rsidRPr="00B27BE4" w:rsidTr="001B2B11">
        <w:trPr>
          <w:tblHeader/>
          <w:tblCellSpacing w:w="15" w:type="dxa"/>
        </w:trPr>
        <w:tc>
          <w:tcPr>
            <w:tcW w:w="1660" w:type="dxa"/>
            <w:vAlign w:val="center"/>
            <w:hideMark/>
          </w:tcPr>
          <w:p w:rsidR="00850C27" w:rsidRPr="00B27BE4" w:rsidRDefault="00850C27" w:rsidP="001B2B11">
            <w:pPr>
              <w:rPr>
                <w:rFonts w:ascii="Calibri" w:hAnsi="Calibri" w:cs="Calibri"/>
                <w:b/>
                <w:bCs/>
                <w:sz w:val="22"/>
                <w:szCs w:val="22"/>
              </w:rPr>
            </w:pPr>
          </w:p>
        </w:tc>
        <w:tc>
          <w:tcPr>
            <w:tcW w:w="2655" w:type="dxa"/>
            <w:vAlign w:val="center"/>
            <w:hideMark/>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New Property Revenue</w:t>
            </w:r>
          </w:p>
        </w:tc>
      </w:tr>
      <w:tr w:rsidR="00850C27" w:rsidRPr="00B27BE4" w:rsidTr="001B2B11">
        <w:trPr>
          <w:tblCellSpacing w:w="15" w:type="dxa"/>
        </w:trPr>
        <w:tc>
          <w:tcPr>
            <w:tcW w:w="1660" w:type="dxa"/>
            <w:hideMark/>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 xml:space="preserve">FY 2020–21 </w:t>
            </w:r>
          </w:p>
        </w:tc>
        <w:tc>
          <w:tcPr>
            <w:tcW w:w="2655" w:type="dxa"/>
            <w:vAlign w:val="center"/>
            <w:hideMark/>
          </w:tcPr>
          <w:p w:rsidR="00850C27" w:rsidRPr="00B27BE4" w:rsidRDefault="00850C27" w:rsidP="001B2B11">
            <w:pPr>
              <w:rPr>
                <w:rFonts w:ascii="Calibri" w:hAnsi="Calibri" w:cs="Calibri"/>
                <w:b/>
                <w:bCs/>
                <w:sz w:val="22"/>
                <w:szCs w:val="22"/>
              </w:rPr>
            </w:pPr>
            <w:r w:rsidRPr="00B27BE4">
              <w:rPr>
                <w:rFonts w:ascii="Calibri" w:hAnsi="Calibri" w:cs="Calibri"/>
                <w:sz w:val="22"/>
                <w:szCs w:val="22"/>
              </w:rPr>
              <w:t>$613,162</w:t>
            </w:r>
          </w:p>
        </w:tc>
      </w:tr>
      <w:tr w:rsidR="00850C27" w:rsidRPr="00B27BE4" w:rsidTr="001B2B11">
        <w:trPr>
          <w:tblCellSpacing w:w="15" w:type="dxa"/>
        </w:trPr>
        <w:tc>
          <w:tcPr>
            <w:tcW w:w="1660" w:type="dxa"/>
            <w:hideMark/>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 xml:space="preserve">FY 2021–22 </w:t>
            </w:r>
          </w:p>
        </w:tc>
        <w:tc>
          <w:tcPr>
            <w:tcW w:w="2655" w:type="dxa"/>
            <w:hideMark/>
          </w:tcPr>
          <w:p w:rsidR="00850C27" w:rsidRPr="00B27BE4" w:rsidRDefault="00850C27" w:rsidP="001B2B11">
            <w:pPr>
              <w:rPr>
                <w:rFonts w:ascii="Calibri" w:hAnsi="Calibri" w:cs="Calibri"/>
                <w:sz w:val="22"/>
                <w:szCs w:val="22"/>
              </w:rPr>
            </w:pPr>
            <w:r w:rsidRPr="00B27BE4">
              <w:rPr>
                <w:rFonts w:ascii="Calibri" w:hAnsi="Calibri" w:cs="Calibri"/>
                <w:sz w:val="22"/>
                <w:szCs w:val="22"/>
              </w:rPr>
              <w:t>$761,574</w:t>
            </w:r>
          </w:p>
        </w:tc>
      </w:tr>
      <w:tr w:rsidR="00850C27" w:rsidRPr="00B27BE4" w:rsidTr="001B2B11">
        <w:trPr>
          <w:tblCellSpacing w:w="15" w:type="dxa"/>
        </w:trPr>
        <w:tc>
          <w:tcPr>
            <w:tcW w:w="1660" w:type="dxa"/>
            <w:hideMark/>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2022–23</w:t>
            </w:r>
          </w:p>
        </w:tc>
        <w:tc>
          <w:tcPr>
            <w:tcW w:w="2655" w:type="dxa"/>
            <w:vAlign w:val="center"/>
            <w:hideMark/>
          </w:tcPr>
          <w:p w:rsidR="00850C27" w:rsidRPr="00B27BE4" w:rsidRDefault="00850C27" w:rsidP="001B2B11">
            <w:pPr>
              <w:rPr>
                <w:rFonts w:ascii="Calibri" w:hAnsi="Calibri" w:cs="Calibri"/>
                <w:b/>
                <w:bCs/>
                <w:sz w:val="22"/>
                <w:szCs w:val="22"/>
              </w:rPr>
            </w:pPr>
            <w:r w:rsidRPr="00B27BE4">
              <w:rPr>
                <w:rFonts w:ascii="Calibri" w:hAnsi="Calibri" w:cs="Calibri"/>
                <w:sz w:val="22"/>
                <w:szCs w:val="22"/>
              </w:rPr>
              <w:t>$576,517</w:t>
            </w:r>
          </w:p>
        </w:tc>
      </w:tr>
      <w:tr w:rsidR="00850C27" w:rsidRPr="00B27BE4" w:rsidTr="001B2B11">
        <w:trPr>
          <w:tblCellSpacing w:w="15" w:type="dxa"/>
        </w:trPr>
        <w:tc>
          <w:tcPr>
            <w:tcW w:w="1660" w:type="dxa"/>
            <w:hideMark/>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2023–24</w:t>
            </w:r>
          </w:p>
        </w:tc>
        <w:tc>
          <w:tcPr>
            <w:tcW w:w="2655" w:type="dxa"/>
            <w:vAlign w:val="center"/>
            <w:hideMark/>
          </w:tcPr>
          <w:p w:rsidR="00850C27" w:rsidRPr="00B27BE4" w:rsidRDefault="00850C27" w:rsidP="001B2B11">
            <w:pPr>
              <w:rPr>
                <w:rFonts w:ascii="Calibri" w:hAnsi="Calibri" w:cs="Calibri"/>
                <w:b/>
                <w:bCs/>
                <w:sz w:val="22"/>
                <w:szCs w:val="22"/>
              </w:rPr>
            </w:pPr>
            <w:r w:rsidRPr="00B27BE4">
              <w:rPr>
                <w:rFonts w:ascii="Calibri" w:hAnsi="Calibri" w:cs="Calibri"/>
                <w:sz w:val="22"/>
                <w:szCs w:val="22"/>
              </w:rPr>
              <w:t>$554,255</w:t>
            </w:r>
          </w:p>
        </w:tc>
      </w:tr>
      <w:tr w:rsidR="00850C27" w:rsidRPr="00B27BE4" w:rsidTr="001B2B11">
        <w:trPr>
          <w:tblCellSpacing w:w="15" w:type="dxa"/>
        </w:trPr>
        <w:tc>
          <w:tcPr>
            <w:tcW w:w="1660" w:type="dxa"/>
            <w:hideMark/>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2024–25</w:t>
            </w:r>
          </w:p>
        </w:tc>
        <w:tc>
          <w:tcPr>
            <w:tcW w:w="2655" w:type="dxa"/>
            <w:vAlign w:val="center"/>
            <w:hideMark/>
          </w:tcPr>
          <w:p w:rsidR="00850C27" w:rsidRPr="00B27BE4" w:rsidRDefault="00850C27" w:rsidP="001B2B11">
            <w:pPr>
              <w:rPr>
                <w:rFonts w:ascii="Calibri" w:hAnsi="Calibri" w:cs="Calibri"/>
                <w:b/>
                <w:bCs/>
                <w:sz w:val="22"/>
                <w:szCs w:val="22"/>
              </w:rPr>
            </w:pPr>
            <w:r w:rsidRPr="00B27BE4">
              <w:rPr>
                <w:rFonts w:ascii="Calibri" w:hAnsi="Calibri" w:cs="Calibri"/>
                <w:sz w:val="22"/>
                <w:szCs w:val="22"/>
              </w:rPr>
              <w:t>$339,457</w:t>
            </w:r>
          </w:p>
        </w:tc>
      </w:tr>
      <w:tr w:rsidR="00850C27" w:rsidRPr="00B27BE4" w:rsidTr="001B2B11">
        <w:trPr>
          <w:tblCellSpacing w:w="15" w:type="dxa"/>
        </w:trPr>
        <w:tc>
          <w:tcPr>
            <w:tcW w:w="1660" w:type="dxa"/>
            <w:hideMark/>
          </w:tcPr>
          <w:p w:rsidR="00850C27" w:rsidRPr="00B27BE4" w:rsidRDefault="00850C27" w:rsidP="001B2B11">
            <w:pPr>
              <w:rPr>
                <w:rFonts w:ascii="Calibri" w:hAnsi="Calibri" w:cs="Calibri"/>
                <w:b/>
                <w:bCs/>
                <w:sz w:val="22"/>
                <w:szCs w:val="22"/>
              </w:rPr>
            </w:pPr>
            <w:r w:rsidRPr="00B27BE4">
              <w:rPr>
                <w:rFonts w:ascii="Calibri" w:hAnsi="Calibri" w:cs="Calibri"/>
                <w:b/>
                <w:bCs/>
                <w:sz w:val="22"/>
                <w:szCs w:val="22"/>
              </w:rPr>
              <w:t>FY 2025–26</w:t>
            </w:r>
          </w:p>
        </w:tc>
        <w:tc>
          <w:tcPr>
            <w:tcW w:w="2655" w:type="dxa"/>
            <w:vAlign w:val="center"/>
            <w:hideMark/>
          </w:tcPr>
          <w:p w:rsidR="00850C27" w:rsidRPr="00B27BE4" w:rsidRDefault="00850C27" w:rsidP="001B2B11">
            <w:pPr>
              <w:rPr>
                <w:rFonts w:ascii="Calibri" w:hAnsi="Calibri" w:cs="Calibri"/>
                <w:b/>
                <w:bCs/>
                <w:sz w:val="22"/>
                <w:szCs w:val="22"/>
              </w:rPr>
            </w:pPr>
            <w:r w:rsidRPr="00B27BE4">
              <w:rPr>
                <w:rFonts w:ascii="Calibri" w:hAnsi="Calibri" w:cs="Calibri"/>
                <w:sz w:val="22"/>
                <w:szCs w:val="22"/>
              </w:rPr>
              <w:t>$1,205,226</w:t>
            </w:r>
          </w:p>
        </w:tc>
      </w:tr>
    </w:tbl>
    <w:p w:rsidR="00850C27" w:rsidRPr="00850C27" w:rsidRDefault="00850C27" w:rsidP="00850C27">
      <w:pPr>
        <w:rPr>
          <w:rFonts w:ascii="Calibri" w:hAnsi="Calibri" w:cs="Calibri"/>
          <w:sz w:val="22"/>
          <w:szCs w:val="22"/>
        </w:rPr>
      </w:pPr>
    </w:p>
    <w:p w:rsidR="00850C27" w:rsidRPr="00850C27" w:rsidRDefault="003356F3" w:rsidP="00850C27">
      <w:pPr>
        <w:rPr>
          <w:rFonts w:ascii="Calibri" w:hAnsi="Calibri" w:cs="Calibri"/>
          <w:b/>
          <w:bCs/>
          <w:sz w:val="22"/>
          <w:szCs w:val="22"/>
        </w:rPr>
      </w:pPr>
      <w:r w:rsidRPr="003356F3">
        <w:rPr>
          <w:rFonts w:ascii="Calibri" w:hAnsi="Calibri" w:cs="Calibri"/>
          <w:b/>
          <w:bCs/>
          <w:noProof/>
          <w:sz w:val="22"/>
          <w:szCs w:val="22"/>
          <w14:ligatures w14:val="standardContextual"/>
        </w:rPr>
        <w:pict>
          <v:rect id="_x0000_i1027" alt="" style="width:468pt;height:.05pt;mso-width-percent:0;mso-height-percent:0;mso-width-percent:0;mso-height-percent:0" o:hralign="center" o:hrstd="t" o:hr="t" fillcolor="#a0a0a0" stroked="f"/>
        </w:pict>
      </w:r>
    </w:p>
    <w:p w:rsidR="00850C27" w:rsidRPr="00850C27" w:rsidRDefault="00850C27" w:rsidP="00850C27">
      <w:pPr>
        <w:rPr>
          <w:rFonts w:ascii="Calibri" w:hAnsi="Calibri" w:cs="Calibri"/>
          <w:b/>
          <w:bCs/>
          <w:sz w:val="22"/>
          <w:szCs w:val="22"/>
        </w:rPr>
      </w:pPr>
      <w:r w:rsidRPr="00850C27">
        <w:rPr>
          <w:rFonts w:ascii="Calibri" w:hAnsi="Calibri" w:cs="Calibri"/>
          <w:b/>
          <w:bCs/>
          <w:sz w:val="22"/>
          <w:szCs w:val="22"/>
        </w:rPr>
        <w:t>5. The City Is Entering a More Constrained Financial Period</w:t>
      </w:r>
    </w:p>
    <w:p w:rsidR="00850C27" w:rsidRDefault="00850C27" w:rsidP="00850C27">
      <w:pPr>
        <w:rPr>
          <w:rFonts w:ascii="Calibri" w:hAnsi="Calibri" w:cs="Calibri"/>
          <w:sz w:val="22"/>
          <w:szCs w:val="22"/>
        </w:rPr>
      </w:pPr>
    </w:p>
    <w:p w:rsidR="00850C27" w:rsidRPr="00850C27" w:rsidRDefault="00850C27" w:rsidP="00850C27">
      <w:pPr>
        <w:rPr>
          <w:rFonts w:ascii="Calibri" w:hAnsi="Calibri" w:cs="Calibri"/>
          <w:sz w:val="22"/>
          <w:szCs w:val="22"/>
        </w:rPr>
      </w:pPr>
      <w:r w:rsidRPr="00850C27">
        <w:rPr>
          <w:rFonts w:ascii="Calibri" w:hAnsi="Calibri" w:cs="Calibri"/>
          <w:sz w:val="22"/>
          <w:szCs w:val="22"/>
        </w:rPr>
        <w:t>Appraised values increased by 47% over five years, but annual growth has slowed from over 18% to less than 2%. At the same time, operating and debt costs continue to rise.</w:t>
      </w:r>
    </w:p>
    <w:p w:rsidR="00850C27" w:rsidRDefault="00850C27" w:rsidP="00850C27">
      <w:pPr>
        <w:rPr>
          <w:rFonts w:ascii="Calibri" w:hAnsi="Calibri" w:cs="Calibri"/>
          <w:sz w:val="22"/>
          <w:szCs w:val="22"/>
        </w:rPr>
      </w:pPr>
      <w:r w:rsidRPr="00850C27">
        <w:rPr>
          <w:rFonts w:ascii="Calibri" w:hAnsi="Calibri" w:cs="Calibri"/>
          <w:sz w:val="22"/>
          <w:szCs w:val="22"/>
        </w:rPr>
        <w:t>This means future budgets will rely more on policy decisions and projections rather than automatic market growth.</w:t>
      </w:r>
    </w:p>
    <w:p w:rsidR="00850C27" w:rsidRPr="00850C27" w:rsidRDefault="00850C27" w:rsidP="00850C27">
      <w:pPr>
        <w:rPr>
          <w:rFonts w:ascii="Calibri" w:hAnsi="Calibri" w:cs="Calibri"/>
          <w:sz w:val="22"/>
          <w:szCs w:val="22"/>
        </w:rPr>
      </w:pPr>
    </w:p>
    <w:p w:rsidR="00850C27" w:rsidRPr="00850C27" w:rsidRDefault="003356F3" w:rsidP="00850C27">
      <w:pPr>
        <w:rPr>
          <w:rFonts w:ascii="Calibri" w:hAnsi="Calibri" w:cs="Calibri"/>
          <w:b/>
          <w:bCs/>
          <w:sz w:val="22"/>
          <w:szCs w:val="22"/>
        </w:rPr>
      </w:pPr>
      <w:r w:rsidRPr="003356F3">
        <w:rPr>
          <w:rFonts w:ascii="Calibri" w:hAnsi="Calibri" w:cs="Calibri"/>
          <w:b/>
          <w:bCs/>
          <w:noProof/>
          <w:sz w:val="22"/>
          <w:szCs w:val="22"/>
          <w14:ligatures w14:val="standardContextual"/>
        </w:rPr>
        <w:lastRenderedPageBreak/>
        <w:pict>
          <v:rect id="_x0000_i1026" alt="" style="width:468pt;height:.05pt;mso-width-percent:0;mso-height-percent:0;mso-width-percent:0;mso-height-percent:0" o:hralign="center" o:hrstd="t" o:hr="t" fillcolor="#a0a0a0" stroked="f"/>
        </w:pict>
      </w:r>
    </w:p>
    <w:p w:rsidR="00850C27" w:rsidRPr="00850C27" w:rsidRDefault="00850C27" w:rsidP="00850C27">
      <w:pPr>
        <w:rPr>
          <w:rFonts w:ascii="Calibri" w:hAnsi="Calibri" w:cs="Calibri"/>
          <w:b/>
          <w:bCs/>
          <w:sz w:val="22"/>
          <w:szCs w:val="22"/>
        </w:rPr>
      </w:pPr>
      <w:r w:rsidRPr="00850C27">
        <w:rPr>
          <w:rFonts w:ascii="Calibri" w:hAnsi="Calibri" w:cs="Calibri"/>
          <w:b/>
          <w:bCs/>
          <w:sz w:val="22"/>
          <w:szCs w:val="22"/>
        </w:rPr>
        <w:t>Key Implications for Council</w:t>
      </w:r>
    </w:p>
    <w:p w:rsidR="00850C27" w:rsidRPr="00850C27" w:rsidRDefault="00850C27" w:rsidP="00850C27">
      <w:pPr>
        <w:numPr>
          <w:ilvl w:val="0"/>
          <w:numId w:val="39"/>
        </w:numPr>
        <w:rPr>
          <w:rFonts w:ascii="Calibri" w:hAnsi="Calibri" w:cs="Calibri"/>
          <w:sz w:val="22"/>
          <w:szCs w:val="22"/>
        </w:rPr>
      </w:pPr>
      <w:r w:rsidRPr="00850C27">
        <w:rPr>
          <w:rFonts w:ascii="Calibri" w:hAnsi="Calibri" w:cs="Calibri"/>
          <w:sz w:val="22"/>
          <w:szCs w:val="22"/>
        </w:rPr>
        <w:t>Property tax revenue is now volatile and less predictable</w:t>
      </w:r>
    </w:p>
    <w:p w:rsidR="00850C27" w:rsidRPr="00850C27" w:rsidRDefault="00850C27" w:rsidP="00850C27">
      <w:pPr>
        <w:numPr>
          <w:ilvl w:val="0"/>
          <w:numId w:val="39"/>
        </w:numPr>
        <w:rPr>
          <w:rFonts w:ascii="Calibri" w:hAnsi="Calibri" w:cs="Calibri"/>
          <w:sz w:val="22"/>
          <w:szCs w:val="22"/>
        </w:rPr>
      </w:pPr>
      <w:r w:rsidRPr="00850C27">
        <w:rPr>
          <w:rFonts w:ascii="Calibri" w:hAnsi="Calibri" w:cs="Calibri"/>
          <w:sz w:val="22"/>
          <w:szCs w:val="22"/>
        </w:rPr>
        <w:t>Large year-to-year swings increase budget risk</w:t>
      </w:r>
    </w:p>
    <w:p w:rsidR="00850C27" w:rsidRPr="00850C27" w:rsidRDefault="00850C27" w:rsidP="00850C27">
      <w:pPr>
        <w:numPr>
          <w:ilvl w:val="0"/>
          <w:numId w:val="39"/>
        </w:numPr>
        <w:rPr>
          <w:rFonts w:ascii="Calibri" w:hAnsi="Calibri" w:cs="Calibri"/>
          <w:sz w:val="22"/>
          <w:szCs w:val="22"/>
        </w:rPr>
      </w:pPr>
      <w:r w:rsidRPr="00850C27">
        <w:rPr>
          <w:rFonts w:ascii="Calibri" w:hAnsi="Calibri" w:cs="Calibri"/>
          <w:sz w:val="22"/>
          <w:szCs w:val="22"/>
        </w:rPr>
        <w:t>The FY 2025–26 budget relies on optimistic assumptions</w:t>
      </w:r>
    </w:p>
    <w:p w:rsidR="00850C27" w:rsidRPr="00850C27" w:rsidRDefault="00850C27" w:rsidP="00850C27">
      <w:pPr>
        <w:numPr>
          <w:ilvl w:val="0"/>
          <w:numId w:val="39"/>
        </w:numPr>
        <w:rPr>
          <w:rFonts w:ascii="Calibri" w:hAnsi="Calibri" w:cs="Calibri"/>
          <w:sz w:val="22"/>
          <w:szCs w:val="22"/>
        </w:rPr>
      </w:pPr>
      <w:r w:rsidRPr="00850C27">
        <w:rPr>
          <w:rFonts w:ascii="Calibri" w:hAnsi="Calibri" w:cs="Calibri"/>
          <w:sz w:val="22"/>
          <w:szCs w:val="22"/>
        </w:rPr>
        <w:t>Financial flexibility is reduced</w:t>
      </w:r>
    </w:p>
    <w:p w:rsidR="00850C27" w:rsidRPr="00850C27" w:rsidRDefault="00850C27" w:rsidP="00850C27">
      <w:pPr>
        <w:numPr>
          <w:ilvl w:val="0"/>
          <w:numId w:val="39"/>
        </w:numPr>
        <w:rPr>
          <w:rFonts w:ascii="Calibri" w:hAnsi="Calibri" w:cs="Calibri"/>
          <w:sz w:val="22"/>
          <w:szCs w:val="22"/>
        </w:rPr>
      </w:pPr>
      <w:r w:rsidRPr="00850C27">
        <w:rPr>
          <w:rFonts w:ascii="Calibri" w:hAnsi="Calibri" w:cs="Calibri"/>
          <w:sz w:val="22"/>
          <w:szCs w:val="22"/>
        </w:rPr>
        <w:t>Conservative forecasting and strong reserves are increasingly important</w:t>
      </w:r>
    </w:p>
    <w:p w:rsidR="00850C27" w:rsidRPr="00850C27" w:rsidRDefault="003356F3" w:rsidP="00850C27">
      <w:pPr>
        <w:rPr>
          <w:rFonts w:ascii="Calibri" w:hAnsi="Calibri" w:cs="Calibri"/>
          <w:b/>
          <w:bCs/>
          <w:sz w:val="22"/>
          <w:szCs w:val="22"/>
        </w:rPr>
      </w:pPr>
      <w:r w:rsidRPr="003356F3">
        <w:rPr>
          <w:rFonts w:ascii="Calibri" w:hAnsi="Calibri" w:cs="Calibri"/>
          <w:b/>
          <w:bCs/>
          <w:noProof/>
          <w:sz w:val="22"/>
          <w:szCs w:val="22"/>
          <w14:ligatures w14:val="standardContextual"/>
        </w:rPr>
        <w:pict>
          <v:rect id="_x0000_i1025" alt="" style="width:468pt;height:.05pt;mso-width-percent:0;mso-height-percent:0;mso-width-percent:0;mso-height-percent:0" o:hralign="center" o:hrstd="t" o:hr="t" fillcolor="#a0a0a0" stroked="f"/>
        </w:pict>
      </w:r>
    </w:p>
    <w:p w:rsidR="00850C27" w:rsidRPr="00850C27" w:rsidRDefault="00850C27" w:rsidP="00850C27">
      <w:pPr>
        <w:rPr>
          <w:rFonts w:ascii="Calibri" w:hAnsi="Calibri" w:cs="Calibri"/>
          <w:b/>
          <w:bCs/>
          <w:sz w:val="22"/>
          <w:szCs w:val="22"/>
        </w:rPr>
      </w:pPr>
      <w:r w:rsidRPr="00850C27">
        <w:rPr>
          <w:rFonts w:ascii="Calibri" w:hAnsi="Calibri" w:cs="Calibri"/>
          <w:b/>
          <w:bCs/>
          <w:sz w:val="22"/>
          <w:szCs w:val="22"/>
        </w:rPr>
        <w:t>Bottom Line</w:t>
      </w:r>
    </w:p>
    <w:p w:rsidR="00850C27" w:rsidRPr="00850C27" w:rsidRDefault="00850C27" w:rsidP="00850C27">
      <w:pPr>
        <w:rPr>
          <w:rFonts w:ascii="Calibri" w:hAnsi="Calibri" w:cs="Calibri"/>
          <w:sz w:val="22"/>
          <w:szCs w:val="22"/>
        </w:rPr>
      </w:pPr>
      <w:r w:rsidRPr="00850C27">
        <w:rPr>
          <w:rFonts w:ascii="Calibri" w:hAnsi="Calibri" w:cs="Calibri"/>
          <w:sz w:val="22"/>
          <w:szCs w:val="22"/>
        </w:rPr>
        <w:t xml:space="preserve">The </w:t>
      </w:r>
      <w:proofErr w:type="gramStart"/>
      <w:r w:rsidRPr="00850C27">
        <w:rPr>
          <w:rFonts w:ascii="Calibri" w:hAnsi="Calibri" w:cs="Calibri"/>
          <w:sz w:val="22"/>
          <w:szCs w:val="22"/>
        </w:rPr>
        <w:t>City</w:t>
      </w:r>
      <w:proofErr w:type="gramEnd"/>
      <w:r w:rsidRPr="00850C27">
        <w:rPr>
          <w:rFonts w:ascii="Calibri" w:hAnsi="Calibri" w:cs="Calibri"/>
          <w:sz w:val="22"/>
          <w:szCs w:val="22"/>
        </w:rPr>
        <w:t xml:space="preserve"> benefited from a temporary real estate and development boom that drove strong revenue growth. When that growth slowed, revenues declined sharply. The current budget assumes a strong rebound, but this recovery is not guaranteed.</w:t>
      </w:r>
    </w:p>
    <w:p w:rsidR="00850C27" w:rsidRDefault="00850C27" w:rsidP="00850C27">
      <w:pPr>
        <w:rPr>
          <w:rFonts w:ascii="Calibri" w:hAnsi="Calibri" w:cs="Calibri"/>
          <w:sz w:val="22"/>
          <w:szCs w:val="22"/>
        </w:rPr>
      </w:pPr>
    </w:p>
    <w:p w:rsidR="00850C27" w:rsidRPr="00850C27" w:rsidRDefault="00850C27" w:rsidP="00850C27">
      <w:pPr>
        <w:rPr>
          <w:rFonts w:ascii="Calibri" w:hAnsi="Calibri" w:cs="Calibri"/>
          <w:sz w:val="22"/>
          <w:szCs w:val="22"/>
        </w:rPr>
      </w:pPr>
      <w:r w:rsidRPr="00850C27">
        <w:rPr>
          <w:rFonts w:ascii="Calibri" w:hAnsi="Calibri" w:cs="Calibri"/>
          <w:sz w:val="22"/>
          <w:szCs w:val="22"/>
        </w:rPr>
        <w:t>Going forward, the City will operate in a tighter financial environment where disciplined budgeting, cautious forecasting, and careful long-term planning are essential.</w:t>
      </w:r>
    </w:p>
    <w:p w:rsidR="00B87D15" w:rsidRPr="00B27BE4" w:rsidRDefault="00B87D15" w:rsidP="006A54F6">
      <w:pPr>
        <w:rPr>
          <w:rFonts w:ascii="Calibri" w:hAnsi="Calibri" w:cs="Calibri"/>
          <w:sz w:val="22"/>
          <w:szCs w:val="22"/>
        </w:rPr>
      </w:pPr>
    </w:p>
    <w:p w:rsidR="00B47C09" w:rsidRPr="00B27BE4" w:rsidRDefault="00B47C09" w:rsidP="00B47C09">
      <w:pPr>
        <w:rPr>
          <w:rFonts w:ascii="Calibri" w:hAnsi="Calibri" w:cs="Calibri"/>
          <w:sz w:val="22"/>
          <w:szCs w:val="22"/>
        </w:rPr>
      </w:pPr>
      <w:r w:rsidRPr="00B27BE4">
        <w:rPr>
          <w:rFonts w:ascii="Calibri" w:hAnsi="Calibri" w:cs="Calibri"/>
          <w:sz w:val="22"/>
          <w:szCs w:val="22"/>
        </w:rPr>
        <w:t>.</w:t>
      </w:r>
    </w:p>
    <w:sectPr w:rsidR="00B47C09" w:rsidRPr="00B27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5FF9"/>
    <w:multiLevelType w:val="multilevel"/>
    <w:tmpl w:val="2540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C7F3F"/>
    <w:multiLevelType w:val="multilevel"/>
    <w:tmpl w:val="DB4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C5E5C"/>
    <w:multiLevelType w:val="multilevel"/>
    <w:tmpl w:val="51C8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92021"/>
    <w:multiLevelType w:val="multilevel"/>
    <w:tmpl w:val="6F2A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A64E4"/>
    <w:multiLevelType w:val="multilevel"/>
    <w:tmpl w:val="A086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C5C72"/>
    <w:multiLevelType w:val="multilevel"/>
    <w:tmpl w:val="9E1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B2772"/>
    <w:multiLevelType w:val="multilevel"/>
    <w:tmpl w:val="DBFA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63C33"/>
    <w:multiLevelType w:val="multilevel"/>
    <w:tmpl w:val="5728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C6E21"/>
    <w:multiLevelType w:val="multilevel"/>
    <w:tmpl w:val="70AC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76E21"/>
    <w:multiLevelType w:val="multilevel"/>
    <w:tmpl w:val="C03AF60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37546"/>
    <w:multiLevelType w:val="hybridMultilevel"/>
    <w:tmpl w:val="2108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186475"/>
    <w:multiLevelType w:val="multilevel"/>
    <w:tmpl w:val="3B80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A1253"/>
    <w:multiLevelType w:val="multilevel"/>
    <w:tmpl w:val="68DC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17D4F"/>
    <w:multiLevelType w:val="multilevel"/>
    <w:tmpl w:val="387E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86DAF"/>
    <w:multiLevelType w:val="multilevel"/>
    <w:tmpl w:val="26A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B516F"/>
    <w:multiLevelType w:val="multilevel"/>
    <w:tmpl w:val="D146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F04E5"/>
    <w:multiLevelType w:val="multilevel"/>
    <w:tmpl w:val="0644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0392E"/>
    <w:multiLevelType w:val="multilevel"/>
    <w:tmpl w:val="B676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D795E"/>
    <w:multiLevelType w:val="multilevel"/>
    <w:tmpl w:val="DC126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757B46"/>
    <w:multiLevelType w:val="multilevel"/>
    <w:tmpl w:val="2414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F18B2"/>
    <w:multiLevelType w:val="multilevel"/>
    <w:tmpl w:val="1BA6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161A3"/>
    <w:multiLevelType w:val="hybridMultilevel"/>
    <w:tmpl w:val="E5CA23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28C7F25"/>
    <w:multiLevelType w:val="multilevel"/>
    <w:tmpl w:val="F278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B4E4C"/>
    <w:multiLevelType w:val="multilevel"/>
    <w:tmpl w:val="F998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84E2F"/>
    <w:multiLevelType w:val="multilevel"/>
    <w:tmpl w:val="6E2A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14632"/>
    <w:multiLevelType w:val="multilevel"/>
    <w:tmpl w:val="50FC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2768FC"/>
    <w:multiLevelType w:val="multilevel"/>
    <w:tmpl w:val="AD84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64C87"/>
    <w:multiLevelType w:val="multilevel"/>
    <w:tmpl w:val="4ACC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3F54A9"/>
    <w:multiLevelType w:val="hybridMultilevel"/>
    <w:tmpl w:val="F25C3C8A"/>
    <w:lvl w:ilvl="0" w:tplc="E996C31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AA211F3"/>
    <w:multiLevelType w:val="multilevel"/>
    <w:tmpl w:val="920C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33069"/>
    <w:multiLevelType w:val="hybridMultilevel"/>
    <w:tmpl w:val="C87CC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A963EF"/>
    <w:multiLevelType w:val="multilevel"/>
    <w:tmpl w:val="21CC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5555F"/>
    <w:multiLevelType w:val="hybridMultilevel"/>
    <w:tmpl w:val="D6D692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4B81266"/>
    <w:multiLevelType w:val="multilevel"/>
    <w:tmpl w:val="FCB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55A76"/>
    <w:multiLevelType w:val="multilevel"/>
    <w:tmpl w:val="70E6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806B1"/>
    <w:multiLevelType w:val="hybridMultilevel"/>
    <w:tmpl w:val="A02AF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107574"/>
    <w:multiLevelType w:val="multilevel"/>
    <w:tmpl w:val="639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D32D2B"/>
    <w:multiLevelType w:val="multilevel"/>
    <w:tmpl w:val="30BC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E1A67"/>
    <w:multiLevelType w:val="multilevel"/>
    <w:tmpl w:val="1160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506696">
    <w:abstractNumId w:val="25"/>
  </w:num>
  <w:num w:numId="2" w16cid:durableId="632444375">
    <w:abstractNumId w:val="2"/>
  </w:num>
  <w:num w:numId="3" w16cid:durableId="1562788695">
    <w:abstractNumId w:val="23"/>
  </w:num>
  <w:num w:numId="4" w16cid:durableId="1077634556">
    <w:abstractNumId w:val="11"/>
  </w:num>
  <w:num w:numId="5" w16cid:durableId="257644016">
    <w:abstractNumId w:val="20"/>
  </w:num>
  <w:num w:numId="6" w16cid:durableId="501044921">
    <w:abstractNumId w:val="6"/>
  </w:num>
  <w:num w:numId="7" w16cid:durableId="2051218667">
    <w:abstractNumId w:val="10"/>
  </w:num>
  <w:num w:numId="8" w16cid:durableId="2008635055">
    <w:abstractNumId w:val="37"/>
  </w:num>
  <w:num w:numId="9" w16cid:durableId="1834877884">
    <w:abstractNumId w:val="16"/>
  </w:num>
  <w:num w:numId="10" w16cid:durableId="1540632433">
    <w:abstractNumId w:val="31"/>
  </w:num>
  <w:num w:numId="11" w16cid:durableId="447942102">
    <w:abstractNumId w:val="3"/>
  </w:num>
  <w:num w:numId="12" w16cid:durableId="1967200018">
    <w:abstractNumId w:val="1"/>
  </w:num>
  <w:num w:numId="13" w16cid:durableId="1059133890">
    <w:abstractNumId w:val="34"/>
  </w:num>
  <w:num w:numId="14" w16cid:durableId="557711877">
    <w:abstractNumId w:val="26"/>
  </w:num>
  <w:num w:numId="15" w16cid:durableId="867640620">
    <w:abstractNumId w:val="8"/>
  </w:num>
  <w:num w:numId="16" w16cid:durableId="1621103578">
    <w:abstractNumId w:val="18"/>
  </w:num>
  <w:num w:numId="17" w16cid:durableId="1904873611">
    <w:abstractNumId w:val="19"/>
  </w:num>
  <w:num w:numId="18" w16cid:durableId="120156593">
    <w:abstractNumId w:val="30"/>
  </w:num>
  <w:num w:numId="19" w16cid:durableId="1145125486">
    <w:abstractNumId w:val="35"/>
  </w:num>
  <w:num w:numId="20" w16cid:durableId="678196631">
    <w:abstractNumId w:val="28"/>
  </w:num>
  <w:num w:numId="21" w16cid:durableId="1149596135">
    <w:abstractNumId w:val="21"/>
  </w:num>
  <w:num w:numId="22" w16cid:durableId="1911113922">
    <w:abstractNumId w:val="33"/>
  </w:num>
  <w:num w:numId="23" w16cid:durableId="1164205643">
    <w:abstractNumId w:val="38"/>
  </w:num>
  <w:num w:numId="24" w16cid:durableId="1321806059">
    <w:abstractNumId w:val="9"/>
  </w:num>
  <w:num w:numId="25" w16cid:durableId="1069496433">
    <w:abstractNumId w:val="32"/>
  </w:num>
  <w:num w:numId="26" w16cid:durableId="1094545683">
    <w:abstractNumId w:val="36"/>
  </w:num>
  <w:num w:numId="27" w16cid:durableId="1913613566">
    <w:abstractNumId w:val="14"/>
  </w:num>
  <w:num w:numId="28" w16cid:durableId="1253970972">
    <w:abstractNumId w:val="5"/>
  </w:num>
  <w:num w:numId="29" w16cid:durableId="1062481226">
    <w:abstractNumId w:val="12"/>
  </w:num>
  <w:num w:numId="30" w16cid:durableId="147016580">
    <w:abstractNumId w:val="4"/>
  </w:num>
  <w:num w:numId="31" w16cid:durableId="1973750462">
    <w:abstractNumId w:val="15"/>
  </w:num>
  <w:num w:numId="32" w16cid:durableId="578251267">
    <w:abstractNumId w:val="17"/>
  </w:num>
  <w:num w:numId="33" w16cid:durableId="882864214">
    <w:abstractNumId w:val="27"/>
  </w:num>
  <w:num w:numId="34" w16cid:durableId="894853960">
    <w:abstractNumId w:val="29"/>
  </w:num>
  <w:num w:numId="35" w16cid:durableId="244461924">
    <w:abstractNumId w:val="24"/>
  </w:num>
  <w:num w:numId="36" w16cid:durableId="734548466">
    <w:abstractNumId w:val="0"/>
  </w:num>
  <w:num w:numId="37" w16cid:durableId="1933395307">
    <w:abstractNumId w:val="22"/>
  </w:num>
  <w:num w:numId="38" w16cid:durableId="930353754">
    <w:abstractNumId w:val="7"/>
  </w:num>
  <w:num w:numId="39" w16cid:durableId="17637940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C09"/>
    <w:rsid w:val="000B6CB8"/>
    <w:rsid w:val="001966D6"/>
    <w:rsid w:val="00264C19"/>
    <w:rsid w:val="002B7ABF"/>
    <w:rsid w:val="003356F3"/>
    <w:rsid w:val="00354BBA"/>
    <w:rsid w:val="003B629E"/>
    <w:rsid w:val="006A54F6"/>
    <w:rsid w:val="007B22FF"/>
    <w:rsid w:val="007C0DEB"/>
    <w:rsid w:val="00850C27"/>
    <w:rsid w:val="00B27BE4"/>
    <w:rsid w:val="00B47C09"/>
    <w:rsid w:val="00B87D15"/>
    <w:rsid w:val="00B9365C"/>
    <w:rsid w:val="00BA2C56"/>
    <w:rsid w:val="00C86F9E"/>
    <w:rsid w:val="00E340AF"/>
    <w:rsid w:val="00EB4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81E72"/>
  <w15:docId w15:val="{2D5D5415-90C0-954A-9BD5-2DDE3F5D0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BE4"/>
    <w:rPr>
      <w:rFonts w:ascii="Times New Roman" w:eastAsia="Times New Roman" w:hAnsi="Times New Roman" w:cs="Times New Roman"/>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C09"/>
    <w:pPr>
      <w:ind w:left="720"/>
      <w:contextualSpacing/>
    </w:pPr>
  </w:style>
  <w:style w:type="table" w:styleId="TableGrid">
    <w:name w:val="Table Grid"/>
    <w:basedOn w:val="TableNormal"/>
    <w:uiPriority w:val="39"/>
    <w:rsid w:val="00B936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B7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47387">
      <w:bodyDiv w:val="1"/>
      <w:marLeft w:val="0"/>
      <w:marRight w:val="0"/>
      <w:marTop w:val="0"/>
      <w:marBottom w:val="0"/>
      <w:divBdr>
        <w:top w:val="none" w:sz="0" w:space="0" w:color="auto"/>
        <w:left w:val="none" w:sz="0" w:space="0" w:color="auto"/>
        <w:bottom w:val="none" w:sz="0" w:space="0" w:color="auto"/>
        <w:right w:val="none" w:sz="0" w:space="0" w:color="auto"/>
      </w:divBdr>
    </w:div>
    <w:div w:id="305476385">
      <w:bodyDiv w:val="1"/>
      <w:marLeft w:val="0"/>
      <w:marRight w:val="0"/>
      <w:marTop w:val="0"/>
      <w:marBottom w:val="0"/>
      <w:divBdr>
        <w:top w:val="none" w:sz="0" w:space="0" w:color="auto"/>
        <w:left w:val="none" w:sz="0" w:space="0" w:color="auto"/>
        <w:bottom w:val="none" w:sz="0" w:space="0" w:color="auto"/>
        <w:right w:val="none" w:sz="0" w:space="0" w:color="auto"/>
      </w:divBdr>
      <w:divsChild>
        <w:div w:id="2098135057">
          <w:marLeft w:val="0"/>
          <w:marRight w:val="0"/>
          <w:marTop w:val="0"/>
          <w:marBottom w:val="0"/>
          <w:divBdr>
            <w:top w:val="none" w:sz="0" w:space="0" w:color="auto"/>
            <w:left w:val="none" w:sz="0" w:space="0" w:color="auto"/>
            <w:bottom w:val="none" w:sz="0" w:space="0" w:color="auto"/>
            <w:right w:val="none" w:sz="0" w:space="0" w:color="auto"/>
          </w:divBdr>
          <w:divsChild>
            <w:div w:id="95460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96625">
      <w:bodyDiv w:val="1"/>
      <w:marLeft w:val="0"/>
      <w:marRight w:val="0"/>
      <w:marTop w:val="0"/>
      <w:marBottom w:val="0"/>
      <w:divBdr>
        <w:top w:val="none" w:sz="0" w:space="0" w:color="auto"/>
        <w:left w:val="none" w:sz="0" w:space="0" w:color="auto"/>
        <w:bottom w:val="none" w:sz="0" w:space="0" w:color="auto"/>
        <w:right w:val="none" w:sz="0" w:space="0" w:color="auto"/>
      </w:divBdr>
    </w:div>
    <w:div w:id="518198635">
      <w:bodyDiv w:val="1"/>
      <w:marLeft w:val="0"/>
      <w:marRight w:val="0"/>
      <w:marTop w:val="0"/>
      <w:marBottom w:val="0"/>
      <w:divBdr>
        <w:top w:val="none" w:sz="0" w:space="0" w:color="auto"/>
        <w:left w:val="none" w:sz="0" w:space="0" w:color="auto"/>
        <w:bottom w:val="none" w:sz="0" w:space="0" w:color="auto"/>
        <w:right w:val="none" w:sz="0" w:space="0" w:color="auto"/>
      </w:divBdr>
    </w:div>
    <w:div w:id="579144226">
      <w:bodyDiv w:val="1"/>
      <w:marLeft w:val="0"/>
      <w:marRight w:val="0"/>
      <w:marTop w:val="0"/>
      <w:marBottom w:val="0"/>
      <w:divBdr>
        <w:top w:val="none" w:sz="0" w:space="0" w:color="auto"/>
        <w:left w:val="none" w:sz="0" w:space="0" w:color="auto"/>
        <w:bottom w:val="none" w:sz="0" w:space="0" w:color="auto"/>
        <w:right w:val="none" w:sz="0" w:space="0" w:color="auto"/>
      </w:divBdr>
    </w:div>
    <w:div w:id="620380823">
      <w:bodyDiv w:val="1"/>
      <w:marLeft w:val="0"/>
      <w:marRight w:val="0"/>
      <w:marTop w:val="0"/>
      <w:marBottom w:val="0"/>
      <w:divBdr>
        <w:top w:val="none" w:sz="0" w:space="0" w:color="auto"/>
        <w:left w:val="none" w:sz="0" w:space="0" w:color="auto"/>
        <w:bottom w:val="none" w:sz="0" w:space="0" w:color="auto"/>
        <w:right w:val="none" w:sz="0" w:space="0" w:color="auto"/>
      </w:divBdr>
    </w:div>
    <w:div w:id="649864470">
      <w:bodyDiv w:val="1"/>
      <w:marLeft w:val="0"/>
      <w:marRight w:val="0"/>
      <w:marTop w:val="0"/>
      <w:marBottom w:val="0"/>
      <w:divBdr>
        <w:top w:val="none" w:sz="0" w:space="0" w:color="auto"/>
        <w:left w:val="none" w:sz="0" w:space="0" w:color="auto"/>
        <w:bottom w:val="none" w:sz="0" w:space="0" w:color="auto"/>
        <w:right w:val="none" w:sz="0" w:space="0" w:color="auto"/>
      </w:divBdr>
    </w:div>
    <w:div w:id="778573141">
      <w:bodyDiv w:val="1"/>
      <w:marLeft w:val="0"/>
      <w:marRight w:val="0"/>
      <w:marTop w:val="0"/>
      <w:marBottom w:val="0"/>
      <w:divBdr>
        <w:top w:val="none" w:sz="0" w:space="0" w:color="auto"/>
        <w:left w:val="none" w:sz="0" w:space="0" w:color="auto"/>
        <w:bottom w:val="none" w:sz="0" w:space="0" w:color="auto"/>
        <w:right w:val="none" w:sz="0" w:space="0" w:color="auto"/>
      </w:divBdr>
    </w:div>
    <w:div w:id="873420281">
      <w:bodyDiv w:val="1"/>
      <w:marLeft w:val="0"/>
      <w:marRight w:val="0"/>
      <w:marTop w:val="0"/>
      <w:marBottom w:val="0"/>
      <w:divBdr>
        <w:top w:val="none" w:sz="0" w:space="0" w:color="auto"/>
        <w:left w:val="none" w:sz="0" w:space="0" w:color="auto"/>
        <w:bottom w:val="none" w:sz="0" w:space="0" w:color="auto"/>
        <w:right w:val="none" w:sz="0" w:space="0" w:color="auto"/>
      </w:divBdr>
    </w:div>
    <w:div w:id="892692014">
      <w:bodyDiv w:val="1"/>
      <w:marLeft w:val="0"/>
      <w:marRight w:val="0"/>
      <w:marTop w:val="0"/>
      <w:marBottom w:val="0"/>
      <w:divBdr>
        <w:top w:val="none" w:sz="0" w:space="0" w:color="auto"/>
        <w:left w:val="none" w:sz="0" w:space="0" w:color="auto"/>
        <w:bottom w:val="none" w:sz="0" w:space="0" w:color="auto"/>
        <w:right w:val="none" w:sz="0" w:space="0" w:color="auto"/>
      </w:divBdr>
    </w:div>
    <w:div w:id="968244650">
      <w:bodyDiv w:val="1"/>
      <w:marLeft w:val="0"/>
      <w:marRight w:val="0"/>
      <w:marTop w:val="0"/>
      <w:marBottom w:val="0"/>
      <w:divBdr>
        <w:top w:val="none" w:sz="0" w:space="0" w:color="auto"/>
        <w:left w:val="none" w:sz="0" w:space="0" w:color="auto"/>
        <w:bottom w:val="none" w:sz="0" w:space="0" w:color="auto"/>
        <w:right w:val="none" w:sz="0" w:space="0" w:color="auto"/>
      </w:divBdr>
    </w:div>
    <w:div w:id="1089623385">
      <w:bodyDiv w:val="1"/>
      <w:marLeft w:val="0"/>
      <w:marRight w:val="0"/>
      <w:marTop w:val="0"/>
      <w:marBottom w:val="0"/>
      <w:divBdr>
        <w:top w:val="none" w:sz="0" w:space="0" w:color="auto"/>
        <w:left w:val="none" w:sz="0" w:space="0" w:color="auto"/>
        <w:bottom w:val="none" w:sz="0" w:space="0" w:color="auto"/>
        <w:right w:val="none" w:sz="0" w:space="0" w:color="auto"/>
      </w:divBdr>
      <w:divsChild>
        <w:div w:id="1223909632">
          <w:marLeft w:val="0"/>
          <w:marRight w:val="0"/>
          <w:marTop w:val="0"/>
          <w:marBottom w:val="0"/>
          <w:divBdr>
            <w:top w:val="none" w:sz="0" w:space="0" w:color="auto"/>
            <w:left w:val="none" w:sz="0" w:space="0" w:color="auto"/>
            <w:bottom w:val="none" w:sz="0" w:space="0" w:color="auto"/>
            <w:right w:val="none" w:sz="0" w:space="0" w:color="auto"/>
          </w:divBdr>
          <w:divsChild>
            <w:div w:id="158768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22423">
      <w:bodyDiv w:val="1"/>
      <w:marLeft w:val="0"/>
      <w:marRight w:val="0"/>
      <w:marTop w:val="0"/>
      <w:marBottom w:val="0"/>
      <w:divBdr>
        <w:top w:val="none" w:sz="0" w:space="0" w:color="auto"/>
        <w:left w:val="none" w:sz="0" w:space="0" w:color="auto"/>
        <w:bottom w:val="none" w:sz="0" w:space="0" w:color="auto"/>
        <w:right w:val="none" w:sz="0" w:space="0" w:color="auto"/>
      </w:divBdr>
    </w:div>
    <w:div w:id="1349865795">
      <w:bodyDiv w:val="1"/>
      <w:marLeft w:val="0"/>
      <w:marRight w:val="0"/>
      <w:marTop w:val="0"/>
      <w:marBottom w:val="0"/>
      <w:divBdr>
        <w:top w:val="none" w:sz="0" w:space="0" w:color="auto"/>
        <w:left w:val="none" w:sz="0" w:space="0" w:color="auto"/>
        <w:bottom w:val="none" w:sz="0" w:space="0" w:color="auto"/>
        <w:right w:val="none" w:sz="0" w:space="0" w:color="auto"/>
      </w:divBdr>
    </w:div>
    <w:div w:id="1359236514">
      <w:bodyDiv w:val="1"/>
      <w:marLeft w:val="0"/>
      <w:marRight w:val="0"/>
      <w:marTop w:val="0"/>
      <w:marBottom w:val="0"/>
      <w:divBdr>
        <w:top w:val="none" w:sz="0" w:space="0" w:color="auto"/>
        <w:left w:val="none" w:sz="0" w:space="0" w:color="auto"/>
        <w:bottom w:val="none" w:sz="0" w:space="0" w:color="auto"/>
        <w:right w:val="none" w:sz="0" w:space="0" w:color="auto"/>
      </w:divBdr>
    </w:div>
    <w:div w:id="1446078199">
      <w:bodyDiv w:val="1"/>
      <w:marLeft w:val="0"/>
      <w:marRight w:val="0"/>
      <w:marTop w:val="0"/>
      <w:marBottom w:val="0"/>
      <w:divBdr>
        <w:top w:val="none" w:sz="0" w:space="0" w:color="auto"/>
        <w:left w:val="none" w:sz="0" w:space="0" w:color="auto"/>
        <w:bottom w:val="none" w:sz="0" w:space="0" w:color="auto"/>
        <w:right w:val="none" w:sz="0" w:space="0" w:color="auto"/>
      </w:divBdr>
    </w:div>
    <w:div w:id="1681472844">
      <w:bodyDiv w:val="1"/>
      <w:marLeft w:val="0"/>
      <w:marRight w:val="0"/>
      <w:marTop w:val="0"/>
      <w:marBottom w:val="0"/>
      <w:divBdr>
        <w:top w:val="none" w:sz="0" w:space="0" w:color="auto"/>
        <w:left w:val="none" w:sz="0" w:space="0" w:color="auto"/>
        <w:bottom w:val="none" w:sz="0" w:space="0" w:color="auto"/>
        <w:right w:val="none" w:sz="0" w:space="0" w:color="auto"/>
      </w:divBdr>
    </w:div>
    <w:div w:id="1717310575">
      <w:bodyDiv w:val="1"/>
      <w:marLeft w:val="0"/>
      <w:marRight w:val="0"/>
      <w:marTop w:val="0"/>
      <w:marBottom w:val="0"/>
      <w:divBdr>
        <w:top w:val="none" w:sz="0" w:space="0" w:color="auto"/>
        <w:left w:val="none" w:sz="0" w:space="0" w:color="auto"/>
        <w:bottom w:val="none" w:sz="0" w:space="0" w:color="auto"/>
        <w:right w:val="none" w:sz="0" w:space="0" w:color="auto"/>
      </w:divBdr>
    </w:div>
    <w:div w:id="1719623779">
      <w:bodyDiv w:val="1"/>
      <w:marLeft w:val="0"/>
      <w:marRight w:val="0"/>
      <w:marTop w:val="0"/>
      <w:marBottom w:val="0"/>
      <w:divBdr>
        <w:top w:val="none" w:sz="0" w:space="0" w:color="auto"/>
        <w:left w:val="none" w:sz="0" w:space="0" w:color="auto"/>
        <w:bottom w:val="none" w:sz="0" w:space="0" w:color="auto"/>
        <w:right w:val="none" w:sz="0" w:space="0" w:color="auto"/>
      </w:divBdr>
    </w:div>
    <w:div w:id="1770806925">
      <w:bodyDiv w:val="1"/>
      <w:marLeft w:val="0"/>
      <w:marRight w:val="0"/>
      <w:marTop w:val="0"/>
      <w:marBottom w:val="0"/>
      <w:divBdr>
        <w:top w:val="none" w:sz="0" w:space="0" w:color="auto"/>
        <w:left w:val="none" w:sz="0" w:space="0" w:color="auto"/>
        <w:bottom w:val="none" w:sz="0" w:space="0" w:color="auto"/>
        <w:right w:val="none" w:sz="0" w:space="0" w:color="auto"/>
      </w:divBdr>
    </w:div>
    <w:div w:id="1825003625">
      <w:bodyDiv w:val="1"/>
      <w:marLeft w:val="0"/>
      <w:marRight w:val="0"/>
      <w:marTop w:val="0"/>
      <w:marBottom w:val="0"/>
      <w:divBdr>
        <w:top w:val="none" w:sz="0" w:space="0" w:color="auto"/>
        <w:left w:val="none" w:sz="0" w:space="0" w:color="auto"/>
        <w:bottom w:val="none" w:sz="0" w:space="0" w:color="auto"/>
        <w:right w:val="none" w:sz="0" w:space="0" w:color="auto"/>
      </w:divBdr>
    </w:div>
    <w:div w:id="1839613175">
      <w:bodyDiv w:val="1"/>
      <w:marLeft w:val="0"/>
      <w:marRight w:val="0"/>
      <w:marTop w:val="0"/>
      <w:marBottom w:val="0"/>
      <w:divBdr>
        <w:top w:val="none" w:sz="0" w:space="0" w:color="auto"/>
        <w:left w:val="none" w:sz="0" w:space="0" w:color="auto"/>
        <w:bottom w:val="none" w:sz="0" w:space="0" w:color="auto"/>
        <w:right w:val="none" w:sz="0" w:space="0" w:color="auto"/>
      </w:divBdr>
    </w:div>
    <w:div w:id="1887332243">
      <w:bodyDiv w:val="1"/>
      <w:marLeft w:val="0"/>
      <w:marRight w:val="0"/>
      <w:marTop w:val="0"/>
      <w:marBottom w:val="0"/>
      <w:divBdr>
        <w:top w:val="none" w:sz="0" w:space="0" w:color="auto"/>
        <w:left w:val="none" w:sz="0" w:space="0" w:color="auto"/>
        <w:bottom w:val="none" w:sz="0" w:space="0" w:color="auto"/>
        <w:right w:val="none" w:sz="0" w:space="0" w:color="auto"/>
      </w:divBdr>
      <w:divsChild>
        <w:div w:id="842402246">
          <w:marLeft w:val="0"/>
          <w:marRight w:val="0"/>
          <w:marTop w:val="0"/>
          <w:marBottom w:val="0"/>
          <w:divBdr>
            <w:top w:val="none" w:sz="0" w:space="0" w:color="auto"/>
            <w:left w:val="none" w:sz="0" w:space="0" w:color="auto"/>
            <w:bottom w:val="none" w:sz="0" w:space="0" w:color="auto"/>
            <w:right w:val="none" w:sz="0" w:space="0" w:color="auto"/>
          </w:divBdr>
          <w:divsChild>
            <w:div w:id="77386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71043">
      <w:bodyDiv w:val="1"/>
      <w:marLeft w:val="0"/>
      <w:marRight w:val="0"/>
      <w:marTop w:val="0"/>
      <w:marBottom w:val="0"/>
      <w:divBdr>
        <w:top w:val="none" w:sz="0" w:space="0" w:color="auto"/>
        <w:left w:val="none" w:sz="0" w:space="0" w:color="auto"/>
        <w:bottom w:val="none" w:sz="0" w:space="0" w:color="auto"/>
        <w:right w:val="none" w:sz="0" w:space="0" w:color="auto"/>
      </w:divBdr>
    </w:div>
    <w:div w:id="1895389896">
      <w:bodyDiv w:val="1"/>
      <w:marLeft w:val="0"/>
      <w:marRight w:val="0"/>
      <w:marTop w:val="0"/>
      <w:marBottom w:val="0"/>
      <w:divBdr>
        <w:top w:val="none" w:sz="0" w:space="0" w:color="auto"/>
        <w:left w:val="none" w:sz="0" w:space="0" w:color="auto"/>
        <w:bottom w:val="none" w:sz="0" w:space="0" w:color="auto"/>
        <w:right w:val="none" w:sz="0" w:space="0" w:color="auto"/>
      </w:divBdr>
      <w:divsChild>
        <w:div w:id="394359742">
          <w:marLeft w:val="0"/>
          <w:marRight w:val="0"/>
          <w:marTop w:val="0"/>
          <w:marBottom w:val="0"/>
          <w:divBdr>
            <w:top w:val="none" w:sz="0" w:space="0" w:color="auto"/>
            <w:left w:val="none" w:sz="0" w:space="0" w:color="auto"/>
            <w:bottom w:val="none" w:sz="0" w:space="0" w:color="auto"/>
            <w:right w:val="none" w:sz="0" w:space="0" w:color="auto"/>
          </w:divBdr>
          <w:divsChild>
            <w:div w:id="1310207640">
              <w:marLeft w:val="0"/>
              <w:marRight w:val="0"/>
              <w:marTop w:val="0"/>
              <w:marBottom w:val="0"/>
              <w:divBdr>
                <w:top w:val="none" w:sz="0" w:space="0" w:color="auto"/>
                <w:left w:val="none" w:sz="0" w:space="0" w:color="auto"/>
                <w:bottom w:val="none" w:sz="0" w:space="0" w:color="auto"/>
                <w:right w:val="none" w:sz="0" w:space="0" w:color="auto"/>
              </w:divBdr>
              <w:divsChild>
                <w:div w:id="1346053912">
                  <w:marLeft w:val="0"/>
                  <w:marRight w:val="0"/>
                  <w:marTop w:val="0"/>
                  <w:marBottom w:val="0"/>
                  <w:divBdr>
                    <w:top w:val="none" w:sz="0" w:space="0" w:color="auto"/>
                    <w:left w:val="none" w:sz="0" w:space="0" w:color="auto"/>
                    <w:bottom w:val="none" w:sz="0" w:space="0" w:color="auto"/>
                    <w:right w:val="none" w:sz="0" w:space="0" w:color="auto"/>
                  </w:divBdr>
                  <w:divsChild>
                    <w:div w:id="691030313">
                      <w:marLeft w:val="0"/>
                      <w:marRight w:val="0"/>
                      <w:marTop w:val="0"/>
                      <w:marBottom w:val="0"/>
                      <w:divBdr>
                        <w:top w:val="none" w:sz="0" w:space="0" w:color="auto"/>
                        <w:left w:val="none" w:sz="0" w:space="0" w:color="auto"/>
                        <w:bottom w:val="none" w:sz="0" w:space="0" w:color="auto"/>
                        <w:right w:val="none" w:sz="0" w:space="0" w:color="auto"/>
                      </w:divBdr>
                      <w:divsChild>
                        <w:div w:id="4325741">
                          <w:marLeft w:val="0"/>
                          <w:marRight w:val="0"/>
                          <w:marTop w:val="0"/>
                          <w:marBottom w:val="0"/>
                          <w:divBdr>
                            <w:top w:val="none" w:sz="0" w:space="0" w:color="auto"/>
                            <w:left w:val="none" w:sz="0" w:space="0" w:color="auto"/>
                            <w:bottom w:val="none" w:sz="0" w:space="0" w:color="auto"/>
                            <w:right w:val="none" w:sz="0" w:space="0" w:color="auto"/>
                          </w:divBdr>
                          <w:divsChild>
                            <w:div w:id="816848644">
                              <w:marLeft w:val="0"/>
                              <w:marRight w:val="0"/>
                              <w:marTop w:val="0"/>
                              <w:marBottom w:val="0"/>
                              <w:divBdr>
                                <w:top w:val="none" w:sz="0" w:space="0" w:color="auto"/>
                                <w:left w:val="none" w:sz="0" w:space="0" w:color="auto"/>
                                <w:bottom w:val="none" w:sz="0" w:space="0" w:color="auto"/>
                                <w:right w:val="none" w:sz="0" w:space="0" w:color="auto"/>
                              </w:divBdr>
                              <w:divsChild>
                                <w:div w:id="1204365943">
                                  <w:marLeft w:val="0"/>
                                  <w:marRight w:val="0"/>
                                  <w:marTop w:val="0"/>
                                  <w:marBottom w:val="0"/>
                                  <w:divBdr>
                                    <w:top w:val="none" w:sz="0" w:space="0" w:color="auto"/>
                                    <w:left w:val="none" w:sz="0" w:space="0" w:color="auto"/>
                                    <w:bottom w:val="none" w:sz="0" w:space="0" w:color="auto"/>
                                    <w:right w:val="none" w:sz="0" w:space="0" w:color="auto"/>
                                  </w:divBdr>
                                  <w:divsChild>
                                    <w:div w:id="1176769536">
                                      <w:marLeft w:val="0"/>
                                      <w:marRight w:val="0"/>
                                      <w:marTop w:val="0"/>
                                      <w:marBottom w:val="0"/>
                                      <w:divBdr>
                                        <w:top w:val="none" w:sz="0" w:space="0" w:color="auto"/>
                                        <w:left w:val="none" w:sz="0" w:space="0" w:color="auto"/>
                                        <w:bottom w:val="none" w:sz="0" w:space="0" w:color="auto"/>
                                        <w:right w:val="none" w:sz="0" w:space="0" w:color="auto"/>
                                      </w:divBdr>
                                      <w:divsChild>
                                        <w:div w:id="900792939">
                                          <w:marLeft w:val="0"/>
                                          <w:marRight w:val="0"/>
                                          <w:marTop w:val="0"/>
                                          <w:marBottom w:val="0"/>
                                          <w:divBdr>
                                            <w:top w:val="none" w:sz="0" w:space="0" w:color="auto"/>
                                            <w:left w:val="none" w:sz="0" w:space="0" w:color="auto"/>
                                            <w:bottom w:val="none" w:sz="0" w:space="0" w:color="auto"/>
                                            <w:right w:val="none" w:sz="0" w:space="0" w:color="auto"/>
                                          </w:divBdr>
                                          <w:divsChild>
                                            <w:div w:id="20909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8040329">
          <w:marLeft w:val="0"/>
          <w:marRight w:val="0"/>
          <w:marTop w:val="0"/>
          <w:marBottom w:val="0"/>
          <w:divBdr>
            <w:top w:val="none" w:sz="0" w:space="0" w:color="auto"/>
            <w:left w:val="none" w:sz="0" w:space="0" w:color="auto"/>
            <w:bottom w:val="none" w:sz="0" w:space="0" w:color="auto"/>
            <w:right w:val="none" w:sz="0" w:space="0" w:color="auto"/>
          </w:divBdr>
          <w:divsChild>
            <w:div w:id="786119699">
              <w:marLeft w:val="0"/>
              <w:marRight w:val="0"/>
              <w:marTop w:val="0"/>
              <w:marBottom w:val="0"/>
              <w:divBdr>
                <w:top w:val="none" w:sz="0" w:space="0" w:color="auto"/>
                <w:left w:val="none" w:sz="0" w:space="0" w:color="auto"/>
                <w:bottom w:val="none" w:sz="0" w:space="0" w:color="auto"/>
                <w:right w:val="none" w:sz="0" w:space="0" w:color="auto"/>
              </w:divBdr>
              <w:divsChild>
                <w:div w:id="329260702">
                  <w:marLeft w:val="0"/>
                  <w:marRight w:val="0"/>
                  <w:marTop w:val="0"/>
                  <w:marBottom w:val="0"/>
                  <w:divBdr>
                    <w:top w:val="none" w:sz="0" w:space="0" w:color="auto"/>
                    <w:left w:val="none" w:sz="0" w:space="0" w:color="auto"/>
                    <w:bottom w:val="none" w:sz="0" w:space="0" w:color="auto"/>
                    <w:right w:val="none" w:sz="0" w:space="0" w:color="auto"/>
                  </w:divBdr>
                  <w:divsChild>
                    <w:div w:id="1085342080">
                      <w:marLeft w:val="0"/>
                      <w:marRight w:val="0"/>
                      <w:marTop w:val="0"/>
                      <w:marBottom w:val="0"/>
                      <w:divBdr>
                        <w:top w:val="none" w:sz="0" w:space="0" w:color="auto"/>
                        <w:left w:val="none" w:sz="0" w:space="0" w:color="auto"/>
                        <w:bottom w:val="none" w:sz="0" w:space="0" w:color="auto"/>
                        <w:right w:val="none" w:sz="0" w:space="0" w:color="auto"/>
                      </w:divBdr>
                      <w:divsChild>
                        <w:div w:id="1704088103">
                          <w:marLeft w:val="0"/>
                          <w:marRight w:val="0"/>
                          <w:marTop w:val="0"/>
                          <w:marBottom w:val="0"/>
                          <w:divBdr>
                            <w:top w:val="none" w:sz="0" w:space="0" w:color="auto"/>
                            <w:left w:val="none" w:sz="0" w:space="0" w:color="auto"/>
                            <w:bottom w:val="none" w:sz="0" w:space="0" w:color="auto"/>
                            <w:right w:val="none" w:sz="0" w:space="0" w:color="auto"/>
                          </w:divBdr>
                          <w:divsChild>
                            <w:div w:id="446042486">
                              <w:marLeft w:val="0"/>
                              <w:marRight w:val="0"/>
                              <w:marTop w:val="0"/>
                              <w:marBottom w:val="0"/>
                              <w:divBdr>
                                <w:top w:val="none" w:sz="0" w:space="0" w:color="auto"/>
                                <w:left w:val="none" w:sz="0" w:space="0" w:color="auto"/>
                                <w:bottom w:val="none" w:sz="0" w:space="0" w:color="auto"/>
                                <w:right w:val="none" w:sz="0" w:space="0" w:color="auto"/>
                              </w:divBdr>
                              <w:divsChild>
                                <w:div w:id="26369538">
                                  <w:marLeft w:val="0"/>
                                  <w:marRight w:val="0"/>
                                  <w:marTop w:val="0"/>
                                  <w:marBottom w:val="0"/>
                                  <w:divBdr>
                                    <w:top w:val="none" w:sz="0" w:space="0" w:color="auto"/>
                                    <w:left w:val="none" w:sz="0" w:space="0" w:color="auto"/>
                                    <w:bottom w:val="none" w:sz="0" w:space="0" w:color="auto"/>
                                    <w:right w:val="none" w:sz="0" w:space="0" w:color="auto"/>
                                  </w:divBdr>
                                  <w:divsChild>
                                    <w:div w:id="7633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837863">
                  <w:marLeft w:val="0"/>
                  <w:marRight w:val="0"/>
                  <w:marTop w:val="0"/>
                  <w:marBottom w:val="0"/>
                  <w:divBdr>
                    <w:top w:val="none" w:sz="0" w:space="0" w:color="auto"/>
                    <w:left w:val="none" w:sz="0" w:space="0" w:color="auto"/>
                    <w:bottom w:val="none" w:sz="0" w:space="0" w:color="auto"/>
                    <w:right w:val="none" w:sz="0" w:space="0" w:color="auto"/>
                  </w:divBdr>
                  <w:divsChild>
                    <w:div w:id="1476222936">
                      <w:marLeft w:val="0"/>
                      <w:marRight w:val="0"/>
                      <w:marTop w:val="0"/>
                      <w:marBottom w:val="0"/>
                      <w:divBdr>
                        <w:top w:val="none" w:sz="0" w:space="0" w:color="auto"/>
                        <w:left w:val="none" w:sz="0" w:space="0" w:color="auto"/>
                        <w:bottom w:val="none" w:sz="0" w:space="0" w:color="auto"/>
                        <w:right w:val="none" w:sz="0" w:space="0" w:color="auto"/>
                      </w:divBdr>
                      <w:divsChild>
                        <w:div w:id="2073380014">
                          <w:marLeft w:val="0"/>
                          <w:marRight w:val="0"/>
                          <w:marTop w:val="0"/>
                          <w:marBottom w:val="0"/>
                          <w:divBdr>
                            <w:top w:val="none" w:sz="0" w:space="0" w:color="auto"/>
                            <w:left w:val="none" w:sz="0" w:space="0" w:color="auto"/>
                            <w:bottom w:val="none" w:sz="0" w:space="0" w:color="auto"/>
                            <w:right w:val="none" w:sz="0" w:space="0" w:color="auto"/>
                          </w:divBdr>
                          <w:divsChild>
                            <w:div w:id="1290630145">
                              <w:marLeft w:val="0"/>
                              <w:marRight w:val="0"/>
                              <w:marTop w:val="0"/>
                              <w:marBottom w:val="0"/>
                              <w:divBdr>
                                <w:top w:val="none" w:sz="0" w:space="0" w:color="auto"/>
                                <w:left w:val="none" w:sz="0" w:space="0" w:color="auto"/>
                                <w:bottom w:val="none" w:sz="0" w:space="0" w:color="auto"/>
                                <w:right w:val="none" w:sz="0" w:space="0" w:color="auto"/>
                              </w:divBdr>
                              <w:divsChild>
                                <w:div w:id="439884870">
                                  <w:marLeft w:val="0"/>
                                  <w:marRight w:val="0"/>
                                  <w:marTop w:val="0"/>
                                  <w:marBottom w:val="0"/>
                                  <w:divBdr>
                                    <w:top w:val="none" w:sz="0" w:space="0" w:color="auto"/>
                                    <w:left w:val="none" w:sz="0" w:space="0" w:color="auto"/>
                                    <w:bottom w:val="none" w:sz="0" w:space="0" w:color="auto"/>
                                    <w:right w:val="none" w:sz="0" w:space="0" w:color="auto"/>
                                  </w:divBdr>
                                  <w:divsChild>
                                    <w:div w:id="800922229">
                                      <w:marLeft w:val="0"/>
                                      <w:marRight w:val="0"/>
                                      <w:marTop w:val="0"/>
                                      <w:marBottom w:val="0"/>
                                      <w:divBdr>
                                        <w:top w:val="none" w:sz="0" w:space="0" w:color="auto"/>
                                        <w:left w:val="none" w:sz="0" w:space="0" w:color="auto"/>
                                        <w:bottom w:val="none" w:sz="0" w:space="0" w:color="auto"/>
                                        <w:right w:val="none" w:sz="0" w:space="0" w:color="auto"/>
                                      </w:divBdr>
                                      <w:divsChild>
                                        <w:div w:id="1903325583">
                                          <w:marLeft w:val="0"/>
                                          <w:marRight w:val="0"/>
                                          <w:marTop w:val="0"/>
                                          <w:marBottom w:val="0"/>
                                          <w:divBdr>
                                            <w:top w:val="none" w:sz="0" w:space="0" w:color="auto"/>
                                            <w:left w:val="none" w:sz="0" w:space="0" w:color="auto"/>
                                            <w:bottom w:val="none" w:sz="0" w:space="0" w:color="auto"/>
                                            <w:right w:val="none" w:sz="0" w:space="0" w:color="auto"/>
                                          </w:divBdr>
                                        </w:div>
                                      </w:divsChild>
                                    </w:div>
                                    <w:div w:id="1251934908">
                                      <w:marLeft w:val="0"/>
                                      <w:marRight w:val="0"/>
                                      <w:marTop w:val="0"/>
                                      <w:marBottom w:val="0"/>
                                      <w:divBdr>
                                        <w:top w:val="none" w:sz="0" w:space="0" w:color="auto"/>
                                        <w:left w:val="none" w:sz="0" w:space="0" w:color="auto"/>
                                        <w:bottom w:val="none" w:sz="0" w:space="0" w:color="auto"/>
                                        <w:right w:val="none" w:sz="0" w:space="0" w:color="auto"/>
                                      </w:divBdr>
                                      <w:divsChild>
                                        <w:div w:id="2087484880">
                                          <w:marLeft w:val="0"/>
                                          <w:marRight w:val="0"/>
                                          <w:marTop w:val="0"/>
                                          <w:marBottom w:val="0"/>
                                          <w:divBdr>
                                            <w:top w:val="none" w:sz="0" w:space="0" w:color="auto"/>
                                            <w:left w:val="none" w:sz="0" w:space="0" w:color="auto"/>
                                            <w:bottom w:val="none" w:sz="0" w:space="0" w:color="auto"/>
                                            <w:right w:val="none" w:sz="0" w:space="0" w:color="auto"/>
                                          </w:divBdr>
                                          <w:divsChild>
                                            <w:div w:id="965231897">
                                              <w:marLeft w:val="0"/>
                                              <w:marRight w:val="0"/>
                                              <w:marTop w:val="0"/>
                                              <w:marBottom w:val="0"/>
                                              <w:divBdr>
                                                <w:top w:val="none" w:sz="0" w:space="0" w:color="auto"/>
                                                <w:left w:val="none" w:sz="0" w:space="0" w:color="auto"/>
                                                <w:bottom w:val="none" w:sz="0" w:space="0" w:color="auto"/>
                                                <w:right w:val="none" w:sz="0" w:space="0" w:color="auto"/>
                                              </w:divBdr>
                                              <w:divsChild>
                                                <w:div w:id="177323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487343">
                  <w:marLeft w:val="0"/>
                  <w:marRight w:val="0"/>
                  <w:marTop w:val="0"/>
                  <w:marBottom w:val="0"/>
                  <w:divBdr>
                    <w:top w:val="none" w:sz="0" w:space="0" w:color="auto"/>
                    <w:left w:val="none" w:sz="0" w:space="0" w:color="auto"/>
                    <w:bottom w:val="none" w:sz="0" w:space="0" w:color="auto"/>
                    <w:right w:val="none" w:sz="0" w:space="0" w:color="auto"/>
                  </w:divBdr>
                  <w:divsChild>
                    <w:div w:id="1987203904">
                      <w:marLeft w:val="0"/>
                      <w:marRight w:val="0"/>
                      <w:marTop w:val="0"/>
                      <w:marBottom w:val="0"/>
                      <w:divBdr>
                        <w:top w:val="none" w:sz="0" w:space="0" w:color="auto"/>
                        <w:left w:val="none" w:sz="0" w:space="0" w:color="auto"/>
                        <w:bottom w:val="none" w:sz="0" w:space="0" w:color="auto"/>
                        <w:right w:val="none" w:sz="0" w:space="0" w:color="auto"/>
                      </w:divBdr>
                      <w:divsChild>
                        <w:div w:id="1074740221">
                          <w:marLeft w:val="0"/>
                          <w:marRight w:val="0"/>
                          <w:marTop w:val="0"/>
                          <w:marBottom w:val="0"/>
                          <w:divBdr>
                            <w:top w:val="none" w:sz="0" w:space="0" w:color="auto"/>
                            <w:left w:val="none" w:sz="0" w:space="0" w:color="auto"/>
                            <w:bottom w:val="none" w:sz="0" w:space="0" w:color="auto"/>
                            <w:right w:val="none" w:sz="0" w:space="0" w:color="auto"/>
                          </w:divBdr>
                          <w:divsChild>
                            <w:div w:id="697051901">
                              <w:marLeft w:val="0"/>
                              <w:marRight w:val="0"/>
                              <w:marTop w:val="0"/>
                              <w:marBottom w:val="0"/>
                              <w:divBdr>
                                <w:top w:val="none" w:sz="0" w:space="0" w:color="auto"/>
                                <w:left w:val="none" w:sz="0" w:space="0" w:color="auto"/>
                                <w:bottom w:val="none" w:sz="0" w:space="0" w:color="auto"/>
                                <w:right w:val="none" w:sz="0" w:space="0" w:color="auto"/>
                              </w:divBdr>
                              <w:divsChild>
                                <w:div w:id="8025754">
                                  <w:marLeft w:val="0"/>
                                  <w:marRight w:val="0"/>
                                  <w:marTop w:val="0"/>
                                  <w:marBottom w:val="0"/>
                                  <w:divBdr>
                                    <w:top w:val="none" w:sz="0" w:space="0" w:color="auto"/>
                                    <w:left w:val="none" w:sz="0" w:space="0" w:color="auto"/>
                                    <w:bottom w:val="none" w:sz="0" w:space="0" w:color="auto"/>
                                    <w:right w:val="none" w:sz="0" w:space="0" w:color="auto"/>
                                  </w:divBdr>
                                  <w:divsChild>
                                    <w:div w:id="16899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Richard</dc:creator>
  <cp:keywords/>
  <dc:description/>
  <cp:lastModifiedBy>Holly Richard</cp:lastModifiedBy>
  <cp:revision>7</cp:revision>
  <dcterms:created xsi:type="dcterms:W3CDTF">2026-02-05T17:57:00Z</dcterms:created>
  <dcterms:modified xsi:type="dcterms:W3CDTF">2026-02-05T19:35:00Z</dcterms:modified>
</cp:coreProperties>
</file>