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B431CD"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B431CD"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lastRenderedPageBreak/>
        <w:drawing>
          <wp:inline distT="0" distB="0" distL="0" distR="0" wp14:anchorId="1FA0B44B" wp14:editId="65E2B193">
            <wp:extent cx="46291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695825"/>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lastRenderedPageBreak/>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4762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19075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lastRenderedPageBreak/>
        <w:drawing>
          <wp:inline distT="0" distB="0" distL="0" distR="0" wp14:anchorId="345AA263" wp14:editId="700EF700">
            <wp:extent cx="47625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095750"/>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B431CD"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B431CD"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B431CD"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B431CD"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B431CD"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B431CD"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B431CD"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47625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4095750"/>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r>
      <w:r>
        <w:rPr>
          <w:lang w:val="en-US"/>
        </w:rPr>
        <w:lastRenderedPageBreak/>
        <w:t>WHEN_FOCUSED</w:t>
      </w:r>
      <w:r>
        <w:rPr>
          <w:lang w:val="en-US"/>
        </w:rPr>
        <w:br/>
        <w:t>registerKeyboardAction</w:t>
      </w:r>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t>getSize()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C142FA" w:rsidP="00F34A9D">
      <w:pPr>
        <w:pStyle w:val="BodyText"/>
        <w:rPr>
          <w:lang w:val="en-US"/>
        </w:rPr>
      </w:pPr>
      <w:r>
        <w:rPr>
          <w:lang w:val="en-US"/>
        </w:rPr>
        <w:t>Set up the mGraphicPanel.  It may be pretty much the way I had the painter before.  Now I’m harvesting the width and height from the parent object member data.</w:t>
      </w:r>
    </w:p>
    <w:p w:rsidR="00C142FA" w:rsidRDefault="00C142FA" w:rsidP="00F34A9D">
      <w:pPr>
        <w:pStyle w:val="BodyText"/>
        <w:rPr>
          <w:lang w:val="en-US"/>
        </w:rPr>
      </w:pPr>
      <w:r>
        <w:rPr>
          <w:lang w:val="en-US"/>
        </w:rPr>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r w:rsidR="001B7180">
        <w:rPr>
          <w:lang w:val="en-US"/>
        </w:rPr>
        <w:t>GraphicsPanel</w:t>
      </w:r>
      <w:r w:rsidR="001B7180">
        <w:rPr>
          <w:lang w:val="en-US"/>
        </w:rPr>
        <w:t xml:space="preserve"> </w:t>
      </w:r>
      <w:r>
        <w:rPr>
          <w:lang w:val="en-US"/>
        </w:rPr>
        <w:t>bounding box diagonal (bbDiagAngle).</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r>
        <w:rPr>
          <w:lang w:val="en-US"/>
        </w:rPr>
        <w:t>Verticies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bbDiagAngle,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It finally kinda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r w:rsidR="00B431CD">
        <w:rPr>
          <w:lang w:val="en-US"/>
        </w:rPr>
        <w:t>resize() that’s automatically called when stuff is resized.  You need a ComponentListener and a componentResized() function.</w:t>
      </w:r>
      <w:bookmarkStart w:id="0" w:name="_GoBack"/>
      <w:bookmarkEnd w:id="0"/>
    </w:p>
    <w:p w:rsidR="00B6229E" w:rsidRPr="00244B2A" w:rsidRDefault="00B6229E" w:rsidP="00F34A9D">
      <w:pPr>
        <w:pStyle w:val="BodyText"/>
        <w:rPr>
          <w:lang w:val="en-US"/>
        </w:rPr>
      </w:pPr>
    </w:p>
    <w:sectPr w:rsidR="00B6229E"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0"/>
  </w:num>
  <w:num w:numId="5">
    <w:abstractNumId w:val="8"/>
  </w:num>
  <w:num w:numId="6">
    <w:abstractNumId w:val="2"/>
  </w:num>
  <w:num w:numId="7">
    <w:abstractNumId w:val="3"/>
  </w:num>
  <w:num w:numId="8">
    <w:abstractNumId w:val="4"/>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56466"/>
    <w:rsid w:val="00066427"/>
    <w:rsid w:val="000A0DFA"/>
    <w:rsid w:val="000B111D"/>
    <w:rsid w:val="000B4F16"/>
    <w:rsid w:val="000B601D"/>
    <w:rsid w:val="000F19E3"/>
    <w:rsid w:val="000F7DD1"/>
    <w:rsid w:val="00110831"/>
    <w:rsid w:val="00123E6E"/>
    <w:rsid w:val="00127C3D"/>
    <w:rsid w:val="00156584"/>
    <w:rsid w:val="00157D08"/>
    <w:rsid w:val="00166438"/>
    <w:rsid w:val="001B0358"/>
    <w:rsid w:val="001B427E"/>
    <w:rsid w:val="001B7180"/>
    <w:rsid w:val="001D3C0D"/>
    <w:rsid w:val="00226465"/>
    <w:rsid w:val="00244B2A"/>
    <w:rsid w:val="00262CD1"/>
    <w:rsid w:val="0028483B"/>
    <w:rsid w:val="002A0C75"/>
    <w:rsid w:val="002C59C6"/>
    <w:rsid w:val="002D23E1"/>
    <w:rsid w:val="002E6C8C"/>
    <w:rsid w:val="00301765"/>
    <w:rsid w:val="003160A7"/>
    <w:rsid w:val="003209C5"/>
    <w:rsid w:val="0035784C"/>
    <w:rsid w:val="003603AF"/>
    <w:rsid w:val="0039106D"/>
    <w:rsid w:val="003D6D1B"/>
    <w:rsid w:val="00432042"/>
    <w:rsid w:val="00433C13"/>
    <w:rsid w:val="0046019D"/>
    <w:rsid w:val="0047737F"/>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604061"/>
    <w:rsid w:val="006579E1"/>
    <w:rsid w:val="006A0964"/>
    <w:rsid w:val="006D2C9C"/>
    <w:rsid w:val="006D39E6"/>
    <w:rsid w:val="006E0374"/>
    <w:rsid w:val="00726BB3"/>
    <w:rsid w:val="00750BA3"/>
    <w:rsid w:val="00754EBC"/>
    <w:rsid w:val="007557C7"/>
    <w:rsid w:val="007B6848"/>
    <w:rsid w:val="007C192E"/>
    <w:rsid w:val="007D7C26"/>
    <w:rsid w:val="007E71E9"/>
    <w:rsid w:val="007F3E34"/>
    <w:rsid w:val="008040D0"/>
    <w:rsid w:val="008A352F"/>
    <w:rsid w:val="008B0BF1"/>
    <w:rsid w:val="008F3DF4"/>
    <w:rsid w:val="00924EE5"/>
    <w:rsid w:val="00933F3B"/>
    <w:rsid w:val="009621E7"/>
    <w:rsid w:val="00987F96"/>
    <w:rsid w:val="00990092"/>
    <w:rsid w:val="009C1B90"/>
    <w:rsid w:val="009E12D8"/>
    <w:rsid w:val="009E4416"/>
    <w:rsid w:val="00A2390E"/>
    <w:rsid w:val="00A91E72"/>
    <w:rsid w:val="00A92D14"/>
    <w:rsid w:val="00A94178"/>
    <w:rsid w:val="00AB3818"/>
    <w:rsid w:val="00AB4C8F"/>
    <w:rsid w:val="00AB6E5F"/>
    <w:rsid w:val="00AE4C5B"/>
    <w:rsid w:val="00AF6B0D"/>
    <w:rsid w:val="00B017C4"/>
    <w:rsid w:val="00B0257E"/>
    <w:rsid w:val="00B071C8"/>
    <w:rsid w:val="00B121E2"/>
    <w:rsid w:val="00B143F0"/>
    <w:rsid w:val="00B3595E"/>
    <w:rsid w:val="00B431CD"/>
    <w:rsid w:val="00B6229E"/>
    <w:rsid w:val="00BA2A32"/>
    <w:rsid w:val="00C142FA"/>
    <w:rsid w:val="00C21346"/>
    <w:rsid w:val="00C26290"/>
    <w:rsid w:val="00C33FA9"/>
    <w:rsid w:val="00C755B9"/>
    <w:rsid w:val="00C9085D"/>
    <w:rsid w:val="00C94C36"/>
    <w:rsid w:val="00CA57A1"/>
    <w:rsid w:val="00CC5BDE"/>
    <w:rsid w:val="00CD1114"/>
    <w:rsid w:val="00D03489"/>
    <w:rsid w:val="00D15379"/>
    <w:rsid w:val="00D311C8"/>
    <w:rsid w:val="00D529DE"/>
    <w:rsid w:val="00D55A27"/>
    <w:rsid w:val="00D772F0"/>
    <w:rsid w:val="00D779D7"/>
    <w:rsid w:val="00D82D86"/>
    <w:rsid w:val="00DB0955"/>
    <w:rsid w:val="00DB1B8D"/>
    <w:rsid w:val="00DB46C2"/>
    <w:rsid w:val="00DB4C09"/>
    <w:rsid w:val="00DD7EEB"/>
    <w:rsid w:val="00E01B0A"/>
    <w:rsid w:val="00E02849"/>
    <w:rsid w:val="00E26F45"/>
    <w:rsid w:val="00E61396"/>
    <w:rsid w:val="00F238C9"/>
    <w:rsid w:val="00F3187E"/>
    <w:rsid w:val="00F34A9D"/>
    <w:rsid w:val="00F45638"/>
    <w:rsid w:val="00F51CCC"/>
    <w:rsid w:val="00F52C79"/>
    <w:rsid w:val="00F87788"/>
    <w:rsid w:val="00FB6B2C"/>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10" Type="http://schemas.openxmlformats.org/officeDocument/2006/relationships/hyperlink" Target="https://netbeans.org/kb/docs/java/gui-functionalit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2725</TotalTime>
  <Pages>13</Pages>
  <Words>2878</Words>
  <Characters>16408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104</cp:revision>
  <dcterms:created xsi:type="dcterms:W3CDTF">2018-05-09T20:33:00Z</dcterms:created>
  <dcterms:modified xsi:type="dcterms:W3CDTF">2018-07-23T01:47:00Z</dcterms:modified>
</cp:coreProperties>
</file>