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lang w:val="pt-BR"/>
        </w:rPr>
      </w:pPr>
      <w:r>
        <w:rPr>
          <w:rFonts w:eastAsia="Times New Roman"/>
          <w:b/>
          <w:sz w:val="28"/>
          <w:lang w:val="pt-BR"/>
        </w:rPr>
        <w:t>UFBRA</w:t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rFonts w:eastAsia="Times New Roman"/>
          <w:b/>
          <w:sz w:val="24"/>
          <w:lang w:val="pt-BR"/>
        </w:rPr>
        <w:t>CURSO DE SISTEMAS DE INFORMAÇÃO</w:t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DICSON </w:t>
      </w:r>
      <w:r>
        <w:rPr>
          <w:rFonts w:eastAsia="Times New Roman"/>
          <w:b/>
          <w:sz w:val="24"/>
          <w:lang w:val="pt-BR"/>
        </w:rPr>
        <w:t>E</w:t>
      </w:r>
      <w:r>
        <w:rPr>
          <w:rFonts w:eastAsia="Times New Roman"/>
          <w:b/>
          <w:sz w:val="24"/>
          <w:lang w:val="pt-BR"/>
        </w:rPr>
        <w:t xml:space="preserve"> DANTAS JUNIOR</w:t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rFonts w:eastAsia="Times New Roman"/>
          <w:b/>
          <w:sz w:val="28"/>
          <w:lang w:val="pt-BR"/>
        </w:rPr>
        <w:t>DESENVOLVIMENTO DE UM SISTEMA WEB DE GERENCIAMENTO</w:t>
      </w:r>
    </w:p>
    <w:p>
      <w:pPr>
        <w:pStyle w:val="Normal"/>
        <w:spacing w:lineRule="auto" w:line="240" w:before="0" w:after="200"/>
        <w:jc w:val="center"/>
        <w:rPr>
          <w:lang w:val="pt-BR"/>
        </w:rPr>
      </w:pPr>
      <w:r>
        <w:rPr>
          <w:rFonts w:eastAsia="Times New Roman"/>
          <w:b/>
          <w:sz w:val="28"/>
          <w:lang w:val="pt-BR"/>
        </w:rPr>
        <w:t>PARA OFICINAS DE MOTOS</w:t>
      </w:r>
    </w:p>
    <w:p>
      <w:pPr>
        <w:pStyle w:val="Normal"/>
        <w:spacing w:lineRule="auto" w:line="240" w:before="0" w:after="200"/>
        <w:jc w:val="center"/>
        <w:rPr>
          <w:lang w:val="pt-BR"/>
        </w:rPr>
      </w:pPr>
      <w:r>
        <w:rPr>
          <w:rFonts w:eastAsia="Times New Roman"/>
          <w:b/>
          <w:sz w:val="26"/>
          <w:lang w:val="pt-BR"/>
        </w:rPr>
        <w:t>GARAGEM 66</w:t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rFonts w:eastAsia="Times New Roman"/>
          <w:b/>
          <w:sz w:val="24"/>
          <w:lang w:val="pt-BR"/>
        </w:rPr>
        <w:t>PROJETO MULTIDISCIPLINAR III</w:t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240" w:before="0" w:after="0"/>
        <w:jc w:val="center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2026</w:t>
      </w:r>
    </w:p>
    <w:p>
      <w:pPr>
        <w:pStyle w:val="Normal"/>
        <w:jc w:val="center"/>
        <w:rPr>
          <w:lang w:val="pt-BR"/>
        </w:rPr>
      </w:pPr>
      <w:r>
        <w:rPr>
          <w:lang w:val="pt-BR"/>
        </w:rPr>
      </w:r>
      <w:r>
        <w:br w:type="page"/>
      </w:r>
    </w:p>
    <w:p>
      <w:pPr>
        <w:keepNext/>
        <w:pageBreakBefore/>
        <w:spacing w:before="0" w:after="400"/>
        <w:jc w:val="center"/>
        <w:rPr>
          <w:lang w:val="pt-BR"/>
        </w:rPr>
        <w:pBdr>
          <w:bottom w:val="single" w:sz="8" w:space="8" w:color="B91C1C"/>
        </w:pBdr>
      </w:pPr>
      <w:r>
        <w:rPr>
          <w:rFonts w:ascii="Times New Roman" w:hAnsi="Times New Roman"/>
          <w:b/>
          <w:color w:val="1F2933"/>
          <w:sz w:val="28"/>
          <w:lang w:val="pt-BR"/>
        </w:rPr>
        <w:t>SUMÁRIO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1 TEMA</w:t>
      </w:r>
      <w:r>
        <w:rPr>
          <w:rFonts w:ascii="Times New Roman" w:hAnsi="Times New Roman"/>
          <w:color w:val="1F2933"/>
          <w:sz w:val="23"/>
        </w:rPr>
        <w:tab/>
        <w:t>4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2 EMPRESA</w:t>
      </w:r>
      <w:r>
        <w:rPr>
          <w:rFonts w:ascii="Times New Roman" w:hAnsi="Times New Roman"/>
          <w:color w:val="1F2933"/>
          <w:sz w:val="23"/>
        </w:rPr>
        <w:tab/>
        <w:t>4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3 LEVANTAMENTO DE REQUISITOS</w:t>
      </w:r>
      <w:r>
        <w:rPr>
          <w:rFonts w:ascii="Times New Roman" w:hAnsi="Times New Roman"/>
          <w:color w:val="1F2933"/>
          <w:sz w:val="23"/>
        </w:rPr>
        <w:tab/>
        <w:t>8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4 ANÁLISE DE REQUISITOS</w:t>
      </w:r>
      <w:r>
        <w:rPr>
          <w:rFonts w:ascii="Times New Roman" w:hAnsi="Times New Roman"/>
          <w:color w:val="1F2933"/>
          <w:sz w:val="23"/>
        </w:rPr>
        <w:tab/>
        <w:t>12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5 MODELAGEM DO SISTEMA</w:t>
      </w:r>
      <w:r>
        <w:rPr>
          <w:rFonts w:ascii="Times New Roman" w:hAnsi="Times New Roman"/>
          <w:color w:val="1F2933"/>
          <w:sz w:val="23"/>
        </w:rPr>
        <w:tab/>
        <w:t>14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6 PLANEJAMENTO DO PROJETO</w:t>
      </w:r>
      <w:r>
        <w:rPr>
          <w:rFonts w:ascii="Times New Roman" w:hAnsi="Times New Roman"/>
          <w:color w:val="1F2933"/>
          <w:sz w:val="23"/>
        </w:rPr>
        <w:tab/>
        <w:t>19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7 IMPLEMENTAÇÃO E TESTES DO SISTEMA</w:t>
      </w:r>
      <w:r>
        <w:rPr>
          <w:rFonts w:ascii="Times New Roman" w:hAnsi="Times New Roman"/>
          <w:color w:val="1F2933"/>
          <w:sz w:val="23"/>
        </w:rPr>
        <w:tab/>
        <w:t>36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8 RESULTADOS ALCANÇADOS</w:t>
      </w:r>
      <w:r>
        <w:rPr>
          <w:rFonts w:ascii="Times New Roman" w:hAnsi="Times New Roman"/>
          <w:color w:val="1F2933"/>
          <w:sz w:val="23"/>
        </w:rPr>
        <w:tab/>
        <w:t>40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9 CONCLUSÃO</w:t>
      </w:r>
      <w:r>
        <w:rPr>
          <w:rFonts w:ascii="Times New Roman" w:hAnsi="Times New Roman"/>
          <w:color w:val="1F2933"/>
          <w:sz w:val="23"/>
        </w:rPr>
        <w:tab/>
        <w:t>41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10 VÍDEO DE DEMONSTRAÇÃO DA APLICAÇÃO</w:t>
      </w:r>
      <w:r>
        <w:rPr>
          <w:rFonts w:ascii="Times New Roman" w:hAnsi="Times New Roman"/>
          <w:color w:val="1F2933"/>
          <w:sz w:val="23"/>
        </w:rPr>
        <w:tab/>
        <w:t>42</w:t>
      </w:r>
    </w:p>
    <w:p>
      <w:pPr>
        <w:keepLines/>
        <w:tabs>
          <w:tab w:pos="8928" w:val="right" w:leader="dot"/>
        </w:tabs>
        <w:spacing w:before="0" w:after="160" w:line="276" w:lineRule="auto"/>
        <w:ind w:left="0" w:right="0" w:firstLine="0"/>
        <w:jc w:val="left"/>
      </w:pPr>
      <w:r>
        <w:rPr>
          <w:rFonts w:ascii="Times New Roman" w:hAnsi="Times New Roman"/>
          <w:color w:val="1F2933"/>
          <w:sz w:val="23"/>
        </w:rPr>
        <w:t>11 REFERÊNCIAS</w:t>
      </w:r>
      <w:r>
        <w:rPr>
          <w:rFonts w:ascii="Times New Roman" w:hAnsi="Times New Roman"/>
          <w:color w:val="1F2933"/>
          <w:sz w:val="23"/>
        </w:rPr>
        <w:tab/>
        <w:t>43</w:t>
      </w:r>
    </w:p>
    <w:p>
      <w:pPr>
        <w:pStyle w:val="Heading1"/>
        <w:pageBreakBefore/>
        <w:jc w:val="start"/>
        <w:rPr>
          <w:color w:val="111111"/>
        </w:rPr>
      </w:pPr>
      <w:r>
        <w:br w:type="page"/>
      </w:r>
      <w:r>
        <w:rPr>
          <w:b/>
          <w:color w:val="111111"/>
          <w:sz w:val="28"/>
          <w:lang w:val="pt-BR"/>
        </w:rPr>
        <w:t>IDENTIFICAÇÃO DAS PARTES ENVOLVIDAS</w:t>
      </w:r>
    </w:p>
    <w:p>
      <w:pPr>
        <w:pStyle w:val="Normal"/>
        <w:jc w:val="start"/>
        <w:rPr>
          <w:lang w:val="pt-BR"/>
        </w:rPr>
      </w:pPr>
      <w:r>
        <w:rPr>
          <w:b/>
          <w:lang w:val="pt-BR"/>
        </w:rPr>
        <w:t xml:space="preserve">Proponente: </w:t>
      </w:r>
      <w:r>
        <w:rPr>
          <w:lang w:val="pt-BR"/>
        </w:rPr>
        <w:t xml:space="preserve">Dicson </w:t>
      </w:r>
      <w:r>
        <w:rPr>
          <w:lang w:val="pt-BR"/>
        </w:rPr>
        <w:t>Eneas</w:t>
      </w:r>
      <w:r>
        <w:rPr>
          <w:lang w:val="pt-BR"/>
        </w:rPr>
        <w:t xml:space="preserve"> Dantas Junior.</w:t>
      </w:r>
    </w:p>
    <w:p>
      <w:pPr>
        <w:pStyle w:val="Normal"/>
        <w:jc w:val="start"/>
        <w:rPr>
          <w:lang w:val="pt-BR"/>
        </w:rPr>
      </w:pPr>
      <w:r>
        <w:rPr>
          <w:b/>
          <w:lang w:val="pt-BR"/>
        </w:rPr>
        <w:t xml:space="preserve">Destinatário: </w:t>
      </w:r>
      <w:r>
        <w:rPr>
          <w:lang w:val="pt-BR"/>
        </w:rPr>
        <w:t>Garagem 66, empresa fictícia utilizada como cenário acadêmico.</w:t>
      </w:r>
    </w:p>
    <w:p>
      <w:pPr>
        <w:pStyle w:val="Normal"/>
        <w:jc w:val="start"/>
        <w:rPr>
          <w:lang w:val="pt-BR"/>
        </w:rPr>
      </w:pPr>
      <w:r>
        <w:rPr>
          <w:b/>
          <w:lang w:val="pt-BR"/>
        </w:rPr>
        <w:t xml:space="preserve">Segmento: </w:t>
      </w:r>
      <w:r>
        <w:rPr>
          <w:lang w:val="pt-BR"/>
        </w:rPr>
        <w:t xml:space="preserve">Oficina especializada em motocicletas de alta </w:t>
      </w:r>
      <w:r>
        <w:rPr>
          <w:lang w:val="pt-BR" w:eastAsia="en-US" w:bidi="ar-SA"/>
        </w:rPr>
        <w:t>cilindrada</w:t>
      </w:r>
      <w:r>
        <w:rPr>
          <w:lang w:val="pt-BR"/>
        </w:rPr>
        <w:t>.</w:t>
      </w:r>
    </w:p>
    <w:p>
      <w:pPr>
        <w:pStyle w:val="Normal"/>
        <w:jc w:val="start"/>
        <w:rPr>
          <w:lang w:val="pt-BR"/>
        </w:rPr>
      </w:pPr>
      <w:r>
        <w:rPr>
          <w:b/>
          <w:lang w:val="pt-BR"/>
        </w:rPr>
        <w:t xml:space="preserve">Público interessado: </w:t>
      </w:r>
      <w:r>
        <w:rPr>
          <w:lang w:val="pt-BR"/>
        </w:rPr>
        <w:t>Administradores, atendentes, mecânicos e clientes da oficina.</w:t>
      </w:r>
    </w:p>
    <w:p>
      <w:pPr>
        <w:pStyle w:val="Normal"/>
        <w:jc w:val="start"/>
        <w:rPr>
          <w:lang w:val="pt-BR"/>
        </w:rPr>
      </w:pPr>
      <w:r>
        <w:rPr>
          <w:b/>
          <w:lang w:val="pt-BR"/>
        </w:rPr>
        <w:t xml:space="preserve">Produto entregue: </w:t>
      </w:r>
      <w:r>
        <w:rPr>
          <w:lang w:val="pt-BR"/>
        </w:rPr>
        <w:t>Sistema web responsivo para gerenciamento dos principais processos da oficina.</w:t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1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Heading1"/>
        <w:spacing w:lineRule="auto" w:line="360" w:before="240" w:after="120"/>
        <w:ind w:hanging="0" w:start="0"/>
        <w:jc w:val="start"/>
        <w:rPr>
          <w:rFonts w:ascii="Times New Roman" w:hAnsi="Times New Roman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Heading3"/>
        <w:spacing w:lineRule="auto" w:line="360" w:before="240" w:after="120"/>
        <w:ind w:hanging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Heading2"/>
        <w:spacing w:lineRule="auto" w:line="360" w:before="240" w:after="120"/>
        <w:ind w:hanging="0" w:start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Heading2"/>
        <w:spacing w:lineRule="auto" w:line="360" w:before="240" w:after="120"/>
        <w:ind w:hanging="0" w:start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2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Heading1"/>
        <w:spacing w:lineRule="auto" w:line="360" w:before="0" w:after="120"/>
        <w:ind w:hanging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4 ANÁLISE DE REQUISITOS</w:t>
      </w:r>
    </w:p>
    <w:p>
      <w:pPr>
        <w:pStyle w:val="Heading2"/>
        <w:spacing w:lineRule="auto" w:line="360" w:before="240" w:after="120"/>
        <w:ind w:hanging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Heading2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Heading2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Heading3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Heading3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Heading3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Heading3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Heading3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4.3.5 ESTRUTURA TECNOLÓGICA</w:t>
      </w:r>
      <w:r>
        <w:rPr>
          <w:rFonts w:eastAsia="Times New Roman"/>
          <w:b/>
          <w:sz w:val="24"/>
          <w:lang w:val="pt-B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Heading3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>
        <w:pStyle w:val="Normal"/>
        <w:rPr/>
      </w:pPr>
      <w:r>
        <w:rPr>
          <w:sz w:val="24"/>
          <w:lang w:val="pt-BR"/>
        </w:rPr>
        <w:t xml:space="preserve">Endereço público da aplicação: </w:t>
      </w:r>
      <w:hyperlink r:id="rId2">
        <w:r>
          <w:rPr>
            <w:rStyle w:val="Style"/>
            <w:color w:val="0563C1"/>
            <w:sz w:val="24"/>
            <w:u w:val="single"/>
            <w:lang w:val="pt-BR"/>
          </w:rPr>
          <w:t>https://garagem-66.vercel.app</w:t>
        </w:r>
      </w:hyperlink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Heading1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Heading2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O Administrador possui acesso às funções administrativas do sistema, como gerenciamento de usuários, clientes, motocicletas, estoque, ordens de serviço, requisições de peças, revisão e publicação de orçamentos e relatórios. O Atendente é responsável pelo atendimento inicial, podendo cadastrar clientes e motocicletas, registrar a entrada da motocicleta e abrir ordens de serviço. O Mecânico atua diretamente na execução dos serviços e na preparação do orçamento, podendo consultar ordens de serviço atribuídas, preparar o rascunho com serviços, peças e valores,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 somente após sua publicação pelo Administrador, aprová-lo ou recusá-lo e consultar o histórico de serviços.</w:t>
      </w:r>
    </w:p>
    <w:p>
      <w:pPr>
        <w:pStyle w:val="Normal"/>
        <w:jc w:val="center"/>
        <w:rPr>
          <w:lang w:val="pt-BR"/>
        </w:rPr>
      </w:pPr>
      <w:r>
        <w:rPr/>
        <w:drawing>
          <wp:inline distT="0" distB="0" distL="0" distR="0">
            <wp:extent cx="5760720" cy="3240405"/>
            <wp:effectExtent l="0" t="0" r="0" b="0"/>
            <wp:docPr id="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7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Heading3"/>
        <w:spacing w:lineRule="auto" w:line="360" w:before="24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2"/>
        <w:spacing w:lineRule="auto" w:line="360" w:before="0" w:after="120"/>
        <w:ind w:hanging="0"/>
        <w:jc w:val="start"/>
        <w:rPr>
          <w:color w:val="111111"/>
        </w:rPr>
      </w:pPr>
      <w:r>
        <w:rPr>
          <w:rFonts w:eastAsia="Times New Roman"/>
          <w:b/>
          <w:color w:val="111111"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2"/>
        <w:spacing w:lineRule="auto" w:line="360" w:before="0" w:after="120"/>
        <w:ind w:hanging="0"/>
        <w:jc w:val="start"/>
        <w:rPr>
          <w:rFonts w:ascii="Times New Roman" w:hAnsi="Times New Roman"/>
          <w:color w:val="111111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Após o registro de entrada e a abertura da ordem de serviço, o Mecânico avalia a OS atribuída e prepara o rascunho do orçamento, registrando serviços, peças e valores. Em seguida, o Administrador revisa as informações e publica o orçamento para o Cliente. Somente após essa publicação o Cliente pode visualizá-lo e registrar sua aprovação ou recusa. Caso o orçamento seja aprovado, o serviço segue para execução pelo Mecânico,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Caso o Cliente recuse o orçamento publicado, os serviços previstos não são executados e a ordem de serviço é encerrada com a situação de concluída por não aprovação. Nesse fluxo, rascunhos preparados pelo Mecânico não são exibidos ao Cliente, e a publicação do orçamento permanece sob responsabilidade do Administrador.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4389120" cy="3932555"/>
            <wp:effectExtent l="0" t="0" r="0" b="0"/>
            <wp:docPr id="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932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2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O Diagrama de Sequência demonstra a comunicação entre os perfis e os componentes do sistema durante a abertura da ordem de serviço, a preparação e publicação do orçamento e o tratamento da decisão do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O processo inicia quando o Atendente abre a ordem de serviço. O Mecânico consulta a OS atribuída e prepara o rascunho do orçamento com serviços, peças e valores. O Administrador revisa esse rascunho e publica o orçamento. A partir da publicação, o sistema disponibiliza o orçamento ao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Quando o Cliente aprova o orçamento publicado, a decisão é enviada ao back-end, o status da ordem de serviço é atualizado e o sistema libera a execução para o Mecânico. Quando o Cliente recusa,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806440" cy="3415665"/>
            <wp:effectExtent l="0" t="0" r="0" b="0"/>
            <wp:docPr id="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341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 — 15 a 21 de junho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 — 22 a 28 de junho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 — 29 de junho a 5 de julho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 — 6 a 19 de julho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 — 13 de julho a 2 de agosto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 — 20 a 26 de julho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 — 3 a 9 de agosto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 — 10 a 16 de agosto de 2026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 — 15 a 21 de junho de 20260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            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Após a preparação do rascunho pelo Mecânico, o Administrador revisa as informações e publica o orçamento. Somente então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sz w:val="24"/>
          <w:lang w:val="pt-BR"/>
        </w:rPr>
        <w:t>O Mecânico pode preparar e consultar o rascunho do orçamento relacionado às ordens de serviço atribuídas. O Administrador pode revisar, editar e publicar o orçamento para o Cliente. O Atendente acompanha o atendimento e a ordem de serviço, sem responsabilidade pela emissão ou publicação do orçamento.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 implementação do sistema Garagem 66 foi concluída com base nos requisitos funcionais, diagramas UML e protótipos definidos durante a análise. A solução foi estruturada em três camadas integradas: interface web em React, API e regras de negócio em Python com Django REST Framework e persistência em PostgreSQL.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O back-end concentra autenticação JWT, permissões por perfil e serviços transacionais responsáveis pelos fluxos de entrada da motocicleta, orçamento, ordem de serviço, execução, estoque, requisição de peças e histórico. O front-end consome a API e apresenta menus, indicadores e ações conforme as responsabilidades de Administrador, Atendente, Mecânico e Cliente.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As regras de negócio impedem operações incompatíveis com o fluxo. Entre elas estão a decisão duplicada de orçamento, a execução antes da aprovação, a utilização de quantidade superior ao estoque, a aprovação de requisição por perfil não autorizado e o acesso do Cliente a registros pertencentes a terceiros.</w:t>
      </w:r>
    </w:p>
    <w:p>
      <w:pPr>
        <w:pStyle w:val="BodyText"/>
        <w:jc w:val="both"/>
        <w:rPr/>
      </w:pPr>
      <w:r>
        <w:rPr>
          <w:sz w:val="24"/>
          <w:lang w:val="pt-BR"/>
        </w:rPr>
        <w:t xml:space="preserve">A aplicação foi publicada com o front-end na Vercel, disponível publicamente em </w:t>
      </w:r>
      <w:hyperlink r:id="rId18">
        <w:r>
          <w:rPr>
            <w:rStyle w:val="Style"/>
            <w:color w:val="0563C1"/>
            <w:sz w:val="24"/>
            <w:u w:val="single"/>
            <w:lang w:val="pt-BR"/>
          </w:rPr>
          <w:t>https://garagem-66.vercel.app</w:t>
        </w:r>
      </w:hyperlink>
      <w:r>
        <w:rPr>
          <w:sz w:val="24"/>
          <w:lang w:val="pt-BR"/>
        </w:rPr>
        <w:t>, enquanto a API está hospedada no Render e o banco PostgreSQL permanece no ambiente de hospedagem. Também foram cadastrados dados fictícios integrados para os quatro perfis demonstrativos, permitindo apresentar o fluxo completo sem utilizar informações pessoais reais.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 validação automatizada foi executada em 23 de agosto de 2026 por meio do mecanismo de testes do Django. Para preservar o banco publicado e os dados demonstrativos, a suíte utilizou um banco SQLite temporário em memória, criado no início da execução e descartado ao término. As migrations foram aplicadas nesse ambiente isolado antes dos casos de teste.</w:t>
      </w:r>
    </w:p>
    <w:p>
      <w:pPr>
        <w:pStyle w:val="BodyText"/>
        <w:jc w:val="both"/>
        <w:rPr>
          <w:lang w:val="pt-BR"/>
        </w:rPr>
      </w:pPr>
      <w:r>
        <w:rPr>
          <w:b/>
          <w:lang w:val="pt-BR"/>
        </w:rPr>
        <w:t>Comando de execução:</w:t>
      </w:r>
      <w:r>
        <w:rPr>
          <w:lang w:val="pt-BR"/>
        </w:rPr>
        <w:t xml:space="preserve"> python manage.py test --verbosity 1.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Os testes foram organizados de acordo com as regras de negócio críticas descritas no quadro a seguir:</w:t>
      </w:r>
    </w:p>
    <w:p>
      <w:pPr>
        <w:pStyle w:val="BodyText"/>
        <w:jc w:val="center"/>
        <w:rPr>
          <w:lang w:val="pt-BR"/>
        </w:rPr>
      </w:pPr>
      <w:r>
        <w:rPr>
          <w:b/>
          <w:lang w:val="pt-BR"/>
        </w:rPr>
        <w:t>Quadro 2 – Síntese dos testes automatizados</w:t>
      </w:r>
    </w:p>
    <w:tbl>
      <w:tblPr>
        <w:tblStyle w:val="TableGrid"/>
        <w:tblW w:w="11232" w:type="dxa"/>
        <w:jc w:val="start"/>
        <w:tblInd w:w="10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w="2808" w:type="dxa"/>
            <w:tcBorders/>
            <w:shd w:fill="112435"/>
            <w:vAlign w:val="center"/>
          </w:tcPr>
          <w:p>
            <w:pPr>
              <w:pStyle w:val="Normal"/>
              <w:rPr>
                <w:lang w:val="pt-BR"/>
              </w:rPr>
            </w:pPr>
            <w:r>
              <w:rPr>
                <w:b/>
                <w:color w:val="FFFFFF"/>
                <w:lang w:val="pt-BR"/>
              </w:rPr>
              <w:t>Grupo</w:t>
            </w:r>
          </w:p>
        </w:tc>
        <w:tc>
          <w:tcPr>
            <w:tcW w:w="2808" w:type="dxa"/>
            <w:tcBorders/>
            <w:shd w:fill="112435"/>
            <w:vAlign w:val="center"/>
          </w:tcPr>
          <w:p>
            <w:pPr>
              <w:pStyle w:val="Normal"/>
              <w:rPr>
                <w:lang w:val="pt-BR"/>
              </w:rPr>
            </w:pPr>
            <w:r>
              <w:rPr>
                <w:b/>
                <w:color w:val="FFFFFF"/>
                <w:lang w:val="pt-BR"/>
              </w:rPr>
              <w:t>Área validada</w:t>
            </w:r>
          </w:p>
        </w:tc>
        <w:tc>
          <w:tcPr>
            <w:tcW w:w="2808" w:type="dxa"/>
            <w:tcBorders/>
            <w:shd w:fill="112435"/>
            <w:vAlign w:val="center"/>
          </w:tcPr>
          <w:p>
            <w:pPr>
              <w:pStyle w:val="Normal"/>
              <w:rPr>
                <w:lang w:val="pt-BR"/>
              </w:rPr>
            </w:pPr>
            <w:r>
              <w:rPr>
                <w:b/>
                <w:color w:val="FFFFFF"/>
                <w:lang w:val="pt-BR"/>
              </w:rPr>
              <w:t>Verificações realizadas</w:t>
            </w:r>
          </w:p>
        </w:tc>
        <w:tc>
          <w:tcPr>
            <w:tcW w:w="2808" w:type="dxa"/>
            <w:tcBorders/>
            <w:shd w:fill="112435"/>
            <w:vAlign w:val="center"/>
          </w:tcPr>
          <w:p>
            <w:pPr>
              <w:pStyle w:val="Normal"/>
              <w:rPr>
                <w:lang w:val="pt-BR"/>
              </w:rPr>
            </w:pPr>
            <w:r>
              <w:rPr>
                <w:b/>
                <w:color w:val="FFFFFF"/>
                <w:lang w:val="pt-BR"/>
              </w:rPr>
              <w:t>Resultado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1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Autenticação e dados demonstrativos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Primeiro acesso, troca obrigatória de senha e criação idempotente dos dados fictícios.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2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Permissões do Cliente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Acesso somente ao próprio cadastro, motocicletas, OS, orçamentos e histórico; bloqueio de escrita operacional.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3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Clientes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Criação de usuário, rejeição de CPF duplicado e validação/normalização de telefone.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4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Entrada da motocicleta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Checklist completo, gravação transacional, reversão em erro e restrição de perfil.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5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Orçamento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Emissão, cálculo de itens, aprovação/recusa pelo proprietário e bloqueio de decisão duplicada.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6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Execução e ciclo da OS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Execução após aprovação, mecânico atribuído, pausa por peças, retomada, conclusão e reabertura administrativa.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7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Estoque e requisições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Baixa e devolução de peças, saldo insuficiente, solicitação pelo mecânico e decisão exclusiva do administrador.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  <w:tr>
        <w:trPr/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8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Histórico de status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rPr>
                <w:lang w:val="pt-BR"/>
              </w:rPr>
            </w:pPr>
            <w:r>
              <w:rPr>
                <w:sz w:val="18"/>
                <w:lang w:val="pt-BR"/>
              </w:rPr>
              <w:t>Registro de status anterior e novo, responsável, data, observação e bloqueio de transição repetida.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pt-BR"/>
              </w:rPr>
            </w:pPr>
            <w:r>
              <w:rPr>
                <w:sz w:val="18"/>
                <w:lang w:val="pt-BR"/>
              </w:rPr>
              <w:t>Aprovado</w:t>
            </w:r>
          </w:p>
        </w:tc>
      </w:tr>
    </w:tbl>
    <w:p>
      <w:pPr>
        <w:pStyle w:val="BodyText"/>
        <w:jc w:val="center"/>
        <w:rPr>
          <w:lang w:val="pt-BR"/>
        </w:rPr>
      </w:pPr>
      <w:r>
        <w:rPr>
          <w:sz w:val="18"/>
          <w:lang w:val="pt-BR"/>
        </w:rPr>
        <w:t>Fonte: Elaborado pelo autor (2026).</w:t>
      </w:r>
    </w:p>
    <w:p>
      <w:pPr>
        <w:pStyle w:val="BodyText"/>
        <w:jc w:val="both"/>
        <w:rPr>
          <w:lang w:val="pt-BR"/>
        </w:rPr>
      </w:pPr>
      <w:r>
        <w:rPr>
          <w:b/>
          <w:lang w:val="pt-BR"/>
        </w:rPr>
        <w:t>Resultado da execução: 53 testes executados, 53 aprovados, nenhuma falha e nenhuma inconsistência detectada, em 189,356 segundos. A verificação interna do Django também não identificou problemas de configuração da aplicação (0 ocorrências).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O aviso referente à ausência do diretório local de arquivos estáticos não afetou os testes nem as funcionalidades avaliadas, pois esses arquivos são gerados pelo processo de build/publicação. O resultado final da suíte foi OK e o banco temporário foi destruído automaticamente.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Além da suíte automatizada, a homologação funcional utilizou os quatro perfis fictícios para confirmar menus, permissões e continuidade dos fluxos na interface responsiva, em navegador de notebook e smartphone.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lineRule="auto" w:line="360" w:before="0" w:after="0"/>
        <w:ind w:hanging="0" w:start="709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O projeto resultou em uma aplicação web funcional, integrada e publicada, capaz de centralizar clientes, motocicletas, entrada com checklist e fotos, ordens de serviço, orçamentos, estoque, requisições de peças e histórico de atendimento.</w:t>
      </w:r>
    </w:p>
    <w:p>
      <w:pPr>
        <w:pStyle w:val="BodyText"/>
        <w:jc w:val="both"/>
        <w:rPr>
          <w:lang w:val="pt-BR"/>
        </w:rPr>
      </w:pPr>
      <w:r>
        <w:rPr>
          <w:sz w:val="24"/>
          <w:lang w:val="pt-BR"/>
        </w:rPr>
        <w:t>A separação de permissões foi aplicada aos quatro perfis demonstrativos. O Administrador controla cadastros, equipe, requisições, visão geral e a publicação dos orçamentos; o Atendente registra clientes, motocicletas e entradas; o Mecânico acompanha as ordens atribuídas, prepara o rascunho do orçamento, executa serviços e solicita peças; e o Cliente consulta seus próprios dados e decide sobre os orçamentos publicados.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As regras implementadas garantem rastreabilidade das mudanças de status, restringem o acesso do Cliente aos próprios registros, impedem execução sem orçamento aprovado e atualizam o estoque somente quando a peça é efetivamente utilizada. A aprovação de requisições permanece sob responsabilidade do Administrador.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 evidência objetiva de qualidade foi obtida pela execução de 53 testes automatizados, todos aprovados. Esse resultado confirma o comportamento esperado das regras críticas e complementa a homologação dos fluxos na interface.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 publicação na Vercel e no Render tornou a solução acessível por navegador em notebooks e smartphones. A interface responsiva, os dados fictícios relacionados e os perfis demonstrativos permitem que a banca navegue pelo produto e observe o funcionamento de cada responsabilidade.</w:t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O projeto Garagem 66 alcançou o objetivo de implementar uma solução web para organizar e acompanhar os principais processos operacionais de uma oficina de motocicletas. O levantamento de requisitos, a modelagem UML e os protótipos orientaram uma implementação integrada e coerente com o problema analisado.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 solução entregue utiliza React no front-end, Django REST Framework no back-end e PostgreSQL para persistência. Sua arquitetura separa interface, regras de negócio e dados, enquanto a autenticação e as permissões por perfil protegem as operações de Administrador, Atendente, Mecânico e Cliente.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Os fluxos de entrada, orçamento, aprovação, execução, estoque, requisição de peças, conclusão e histórico foram implementados e disponibilizados no ambiente publicado. A responsividade permite utilizar o sistema em notebooks e smartphones, favorecendo a usabilidade durante o atendimento e a avaliação acadêmica.</w:t>
      </w:r>
    </w:p>
    <w:p>
      <w:pPr>
        <w:pStyle w:val="BodyText"/>
        <w:jc w:val="both"/>
        <w:rPr>
          <w:lang w:val="pt-BR"/>
        </w:rPr>
      </w:pPr>
      <w:r>
        <w:rPr>
          <w:lang w:val="pt-BR"/>
        </w:rPr>
        <w:t>A execução de 53 testes automatizados, sem falhas, forneceu evidência verificável de que as regras críticas funcionam conforme o comportamento definido. A homologação com dados fictícios complementou essa validação ao representar situações próximas à rotina de uma oficina sem expor dados pessoais reais.</w:t>
      </w:r>
    </w:p>
    <w:p>
      <w:pPr>
        <w:pStyle w:val="BodyText"/>
        <w:jc w:val="both"/>
        <w:rPr>
          <w:lang w:val="pt-BR"/>
        </w:rPr>
      </w:pPr>
      <w:r>
        <w:rPr/>
        <w:t>Conclui-se que o trabalho não se limita a uma proposta ou protótipo: ele apresenta um produto acadêmico funcional, testado e publicado. A solução estabelece uma base consistente para evoluções posteriores, preservando como resultado desta entrega os processos, controles e níveis de acesso efetivamente implementados.</w:t>
      </w:r>
      <w:r>
        <w:br w:type="page"/>
      </w:r>
    </w:p>
    <w:p>
      <w:pPr>
        <w:pStyle w:val="Heading1"/>
        <w:rPr>
          <w:rFonts w:ascii="Times New Roman" w:hAnsi="Times New Roman"/>
          <w:color w:val="111111"/>
        </w:rPr>
      </w:pPr>
      <w:r>
        <w:rPr>
          <w:rFonts w:ascii="Times New Roman" w:hAnsi="Times New Roman"/>
          <w:color w:val="111111"/>
        </w:rPr>
        <w:t>10 VÍDEO DE DEMONSTRAÇÃO DA APLICAÇÃO</w:t>
      </w:r>
    </w:p>
    <w:p>
      <w:pPr>
        <w:pStyle w:val="BodyText"/>
        <w:rPr/>
      </w:pPr>
      <w:r>
        <w:rPr/>
        <w:t>Como evidência complementar da entrega, foi produzido um vídeo de demonstração com a aplicação publicada e em funcionamento. O material apresenta a navegação pelos principais perfis e acompanha um fluxo representativo do atendimento, permitindo observar o cadastro, a entrada da motocicleta, a ordem de serviço, a preparação e publicação do orçamento, a decisão do cliente e o prosseguimento do trabalho pelo mecânico.</w:t>
      </w:r>
    </w:p>
    <w:p>
      <w:pPr>
        <w:pStyle w:val="BodyText"/>
        <w:rPr/>
      </w:pPr>
      <w:r>
        <w:rPr/>
        <w:t>A gravação complementa as descrições, diagramas, capturas de tela e resultados de testes apresentados neste relatório. Dessa forma, a banca pode relacionar os requisitos documentados ao comportamento efetivo do sistema e verificar a separação das responsabilidades entre Administrador, Atendente, Mecânico e Cliente.</w:t>
      </w:r>
    </w:p>
    <w:p>
      <w:pPr>
        <w:pStyle w:val="BodyText"/>
        <w:rPr/>
      </w:pPr>
      <w:r>
        <w:rPr/>
        <w:t>Para ampliar a acessibilidade, o player do YouTube disponibiliza legendas em closed caption, que podem ser ativadas pelo botão CC. Esse recurso permite acompanhar a apresentação mesmo quando o volume estiver baixo, houver ruído no ambiente ou o áudio não puder ser reproduzido adequadamente. Também é possível pausar, retroceder e ajustar a velocidade de reprodução para revisar cada etapa demonstrada.</w:t>
      </w:r>
    </w:p>
    <w:p>
      <w:pPr>
        <w:pStyle w:val="BodyText"/>
        <w:rPr/>
      </w:pPr>
      <w:r>
        <w:rPr>
          <w:b/>
        </w:rPr>
        <w:t xml:space="preserve">Acesso ao vídeo de demonstração: </w:t>
      </w:r>
      <w:hyperlink r:id="rId19">
        <w:r>
          <w:rPr>
            <w:rStyle w:val="Hyperlink"/>
          </w:rPr>
          <w:t>https://youtu.be/9orPrxz2JQY</w:t>
        </w:r>
      </w:hyperlink>
    </w:p>
    <w:p>
      <w:pPr>
        <w:pStyle w:val="BodyText"/>
        <w:rPr/>
      </w:pPr>
      <w:r>
        <w:rPr/>
        <w:t>O vídeo não substitui a validação técnica: ele funciona como evidência audiovisual complementar aos 53 testes automatizados aprovados e à homologação funcional registrada no documento.</w:t>
      </w:r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bCs w:val="false"/>
          <w:color w:val="auto"/>
          <w:sz w:val="24"/>
          <w:szCs w:val="22"/>
          <w:lang w:val="pt-BR"/>
        </w:rPr>
        <w:t>11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4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5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6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7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aragem-66.vercel.app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hyperlink" Target="https://garagem-66.vercel.app/" TargetMode="External"/><Relationship Id="rId19" Type="http://schemas.openxmlformats.org/officeDocument/2006/relationships/hyperlink" Target="https://youtu.be/9orPrxz2JQY" TargetMode="External"/><Relationship Id="rId20" Type="http://schemas.openxmlformats.org/officeDocument/2006/relationships/hyperlink" Target="https://ultracar.com.br/?utm_source=chatgpt.com" TargetMode="External"/><Relationship Id="rId21" Type="http://schemas.openxmlformats.org/officeDocument/2006/relationships/hyperlink" Target="https://www.shoficina.com.br/site/" TargetMode="External"/><Relationship Id="rId22" Type="http://schemas.openxmlformats.org/officeDocument/2006/relationships/hyperlink" Target="https://agendaoficina.com.br/?utm_source=chatgpt.com" TargetMode="External"/><Relationship Id="rId23" Type="http://schemas.openxmlformats.org/officeDocument/2006/relationships/hyperlink" Target="https://www.python.org/" TargetMode="External"/><Relationship Id="rId24" Type="http://schemas.openxmlformats.org/officeDocument/2006/relationships/hyperlink" Target="https://www.djangoproject.com/" TargetMode="External"/><Relationship Id="rId25" Type="http://schemas.openxmlformats.org/officeDocument/2006/relationships/hyperlink" Target="https://react.dev/" TargetMode="External"/><Relationship Id="rId26" Type="http://schemas.openxmlformats.org/officeDocument/2006/relationships/hyperlink" Target="https://www.postgresql.org/" TargetMode="External"/><Relationship Id="rId27" Type="http://schemas.openxmlformats.org/officeDocument/2006/relationships/hyperlink" Target="https://git-scm.com/" TargetMode="Externa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2768</TotalTime>
  <Application>LibreOffice/26.2.0.3$Windows_X86_64 LibreOffice_project/620$Build-3</Application>
  <AppVersion>15.0000</AppVersion>
  <Pages>43</Pages>
  <Words>7369</Words>
  <Characters>42954</Characters>
  <CharactersWithSpaces>49781</CharactersWithSpaces>
  <Paragraphs>587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2026-08-23T21:34:15Z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