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B0855" w14:textId="77777777" w:rsidR="00E60D7C" w:rsidRDefault="00000000">
      <w:pPr>
        <w:spacing w:before="480" w:after="80"/>
      </w:pPr>
      <w:r>
        <w:rPr>
          <w:b/>
          <w:bCs/>
          <w:color w:val="7C5CFC"/>
          <w:sz w:val="52"/>
          <w:szCs w:val="52"/>
        </w:rPr>
        <w:t>Engineering &amp; Infrastructure Brief</w:t>
      </w:r>
    </w:p>
    <w:p w14:paraId="318B0856" w14:textId="77777777" w:rsidR="00E60D7C" w:rsidRDefault="00000000">
      <w:pPr>
        <w:spacing w:after="60"/>
      </w:pPr>
      <w:r>
        <w:rPr>
          <w:color w:val="4B4B6B"/>
          <w:sz w:val="26"/>
          <w:szCs w:val="26"/>
        </w:rPr>
        <w:t>Conga AI Sales Enablement Tool Suite — Migration to Conga Infrastructure</w:t>
      </w:r>
    </w:p>
    <w:p w14:paraId="318B0857" w14:textId="77777777" w:rsidR="00E60D7C" w:rsidRDefault="00E60D7C">
      <w:pPr>
        <w:pBdr>
          <w:bottom w:val="single" w:sz="2" w:space="0" w:color="CCCCCC"/>
        </w:pBdr>
        <w:spacing w:after="40"/>
      </w:pPr>
    </w:p>
    <w:p w14:paraId="318B0858" w14:textId="77777777" w:rsidR="00E60D7C" w:rsidRDefault="00000000">
      <w:pPr>
        <w:spacing w:before="80" w:after="40"/>
      </w:pPr>
      <w:r>
        <w:rPr>
          <w:b/>
          <w:bCs/>
          <w:color w:val="4B4B6B"/>
          <w:sz w:val="18"/>
          <w:szCs w:val="18"/>
        </w:rPr>
        <w:t xml:space="preserve">Prepared by: </w:t>
      </w:r>
      <w:r>
        <w:rPr>
          <w:color w:val="1A1A2E"/>
          <w:sz w:val="18"/>
          <w:szCs w:val="18"/>
        </w:rPr>
        <w:t>Reeves, Account Executive — Conga</w:t>
      </w:r>
    </w:p>
    <w:p w14:paraId="318B0859" w14:textId="77777777" w:rsidR="00E60D7C" w:rsidRDefault="00000000">
      <w:pPr>
        <w:spacing w:before="40" w:after="40"/>
      </w:pPr>
      <w:r>
        <w:rPr>
          <w:b/>
          <w:bCs/>
          <w:color w:val="4B4B6B"/>
          <w:sz w:val="18"/>
          <w:szCs w:val="18"/>
        </w:rPr>
        <w:t xml:space="preserve">Date: </w:t>
      </w:r>
      <w:r>
        <w:rPr>
          <w:color w:val="1A1A2E"/>
          <w:sz w:val="18"/>
          <w:szCs w:val="18"/>
        </w:rPr>
        <w:t>April 2026</w:t>
      </w:r>
    </w:p>
    <w:p w14:paraId="318B085A" w14:textId="77777777" w:rsidR="00E60D7C" w:rsidRDefault="00000000">
      <w:pPr>
        <w:spacing w:before="40" w:after="40"/>
      </w:pPr>
      <w:r>
        <w:rPr>
          <w:b/>
          <w:bCs/>
          <w:color w:val="4B4B6B"/>
          <w:sz w:val="18"/>
          <w:szCs w:val="18"/>
        </w:rPr>
        <w:t xml:space="preserve">Audience: </w:t>
      </w:r>
      <w:r>
        <w:rPr>
          <w:color w:val="1A1A2E"/>
          <w:sz w:val="18"/>
          <w:szCs w:val="18"/>
        </w:rPr>
        <w:t>Conga IT / Engineering / Infrastructure Teams</w:t>
      </w:r>
    </w:p>
    <w:p w14:paraId="318B085B" w14:textId="77777777" w:rsidR="00E60D7C" w:rsidRDefault="00000000">
      <w:pPr>
        <w:spacing w:before="40" w:after="40"/>
      </w:pPr>
      <w:r>
        <w:rPr>
          <w:b/>
          <w:bCs/>
          <w:color w:val="4B4B6B"/>
          <w:sz w:val="18"/>
          <w:szCs w:val="18"/>
        </w:rPr>
        <w:t xml:space="preserve">Classification: </w:t>
      </w:r>
      <w:r>
        <w:rPr>
          <w:color w:val="1A1A2E"/>
          <w:sz w:val="18"/>
          <w:szCs w:val="18"/>
        </w:rPr>
        <w:t>Confidential — Internal Use Only</w:t>
      </w:r>
    </w:p>
    <w:p w14:paraId="318B085C" w14:textId="77777777" w:rsidR="00E60D7C" w:rsidRDefault="00E60D7C">
      <w:pPr>
        <w:spacing w:before="300"/>
      </w:pPr>
    </w:p>
    <w:p w14:paraId="318B085D" w14:textId="77777777" w:rsidR="00E60D7C" w:rsidRDefault="00000000">
      <w:pPr>
        <w:pStyle w:val="Heading1"/>
        <w:pBdr>
          <w:bottom w:val="single" w:sz="6" w:space="4" w:color="7C5CFC"/>
        </w:pBdr>
      </w:pPr>
      <w:r>
        <w:t>1. Executive Summary</w:t>
      </w:r>
    </w:p>
    <w:p w14:paraId="318B085E" w14:textId="1A739B97" w:rsidR="00E60D7C" w:rsidRDefault="00000000">
      <w:pPr>
        <w:spacing w:before="60" w:after="60"/>
      </w:pPr>
      <w:r>
        <w:rPr>
          <w:color w:val="1A1A2E"/>
          <w:sz w:val="18"/>
          <w:szCs w:val="18"/>
        </w:rPr>
        <w:t>This brief describes a suite of AI-powered sales enablement tools built by Reeves and currently hosted on Vercel as a non-production prototype environment. The tools are being piloted by Conga Account Executives and are being evaluated for migration to Conga’s internal infrastructure to enable SSO, centralized API key management, shared data persistence, and enterprise-grade security controls.</w:t>
      </w:r>
    </w:p>
    <w:p w14:paraId="318B085F" w14:textId="77777777" w:rsidR="00E60D7C" w:rsidRDefault="00E60D7C">
      <w:pPr>
        <w:spacing w:before="80"/>
      </w:pPr>
    </w:p>
    <w:p w14:paraId="318B0860" w14:textId="77777777" w:rsidR="00E60D7C" w:rsidRDefault="00000000">
      <w:pPr>
        <w:spacing w:before="60" w:after="60"/>
      </w:pPr>
      <w:r>
        <w:rPr>
          <w:color w:val="1A1A2E"/>
          <w:sz w:val="18"/>
          <w:szCs w:val="18"/>
        </w:rPr>
        <w:t>The suite currently includes six built tools, with one additional module in active development. All tools are self-contained HTML applications that route AI calls through a server-side proxy. A lightweight serverless backend handles API authentication; the migration is an opportunity to extend this with shared persistent storage, usage tracking, and team collaboration features.</w:t>
      </w:r>
    </w:p>
    <w:p w14:paraId="318B0861" w14:textId="77777777" w:rsidR="00E60D7C" w:rsidRDefault="00E60D7C">
      <w:pPr>
        <w:spacing w:before="140"/>
      </w:pPr>
    </w:p>
    <w:p w14:paraId="318B0862" w14:textId="77777777" w:rsidR="00E60D7C" w:rsidRDefault="00000000">
      <w:pPr>
        <w:pStyle w:val="Heading1"/>
        <w:pBdr>
          <w:bottom w:val="single" w:sz="6" w:space="4" w:color="7C5CFC"/>
        </w:pBdr>
      </w:pPr>
      <w:r>
        <w:t>2. Tool Inventory</w:t>
      </w:r>
    </w:p>
    <w:p w14:paraId="318B0863" w14:textId="7B2D07EF" w:rsidR="00E60D7C" w:rsidRDefault="00000000">
      <w:pPr>
        <w:spacing w:before="60" w:after="60"/>
      </w:pPr>
      <w:r>
        <w:rPr>
          <w:color w:val="1A1A2E"/>
          <w:sz w:val="18"/>
          <w:szCs w:val="18"/>
        </w:rPr>
        <w:t>The following tools are currently deployed on Vercel for prototyping and internal use:</w:t>
      </w:r>
    </w:p>
    <w:p w14:paraId="318B0864" w14:textId="77777777" w:rsidR="00E60D7C" w:rsidRDefault="00E60D7C">
      <w:pPr>
        <w:spacing w:before="80"/>
      </w:pPr>
    </w:p>
    <w:tbl>
      <w:tblPr>
        <w:tblW w:w="6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160"/>
      </w:tblGrid>
      <w:tr w:rsidR="00CE7B89" w14:paraId="318B0869" w14:textId="77777777" w:rsidTr="00CE7B89">
        <w:tc>
          <w:tcPr>
            <w:tcW w:w="2200" w:type="dxa"/>
            <w:tcBorders>
              <w:top w:val="single" w:sz="1" w:space="0" w:color="7C5CFC"/>
              <w:left w:val="single" w:sz="1" w:space="0" w:color="7C5CFC"/>
              <w:bottom w:val="single" w:sz="1" w:space="0" w:color="7C5CFC"/>
              <w:right w:val="single" w:sz="1" w:space="0" w:color="7C5CFC"/>
            </w:tcBorders>
            <w:shd w:val="clear" w:color="auto" w:fill="7C5CFC"/>
            <w:tcMar>
              <w:top w:w="100" w:type="dxa"/>
              <w:left w:w="140" w:type="dxa"/>
              <w:bottom w:w="100" w:type="dxa"/>
              <w:right w:w="140" w:type="dxa"/>
            </w:tcMar>
            <w:vAlign w:val="center"/>
          </w:tcPr>
          <w:p w14:paraId="318B0865" w14:textId="77777777" w:rsidR="00CE7B89" w:rsidRDefault="00CE7B89">
            <w:r>
              <w:rPr>
                <w:b/>
                <w:bCs/>
                <w:color w:val="FFFFFF"/>
                <w:sz w:val="18"/>
                <w:szCs w:val="18"/>
              </w:rPr>
              <w:t>Tool</w:t>
            </w:r>
          </w:p>
        </w:tc>
        <w:tc>
          <w:tcPr>
            <w:tcW w:w="2600" w:type="dxa"/>
            <w:tcBorders>
              <w:top w:val="single" w:sz="1" w:space="0" w:color="7C5CFC"/>
              <w:left w:val="single" w:sz="1" w:space="0" w:color="7C5CFC"/>
              <w:bottom w:val="single" w:sz="1" w:space="0" w:color="7C5CFC"/>
              <w:right w:val="single" w:sz="1" w:space="0" w:color="7C5CFC"/>
            </w:tcBorders>
            <w:shd w:val="clear" w:color="auto" w:fill="7C5CFC"/>
            <w:tcMar>
              <w:top w:w="100" w:type="dxa"/>
              <w:left w:w="140" w:type="dxa"/>
              <w:bottom w:w="100" w:type="dxa"/>
              <w:right w:w="140" w:type="dxa"/>
            </w:tcMar>
            <w:vAlign w:val="center"/>
          </w:tcPr>
          <w:p w14:paraId="318B0866" w14:textId="77777777" w:rsidR="00CE7B89" w:rsidRDefault="00CE7B89">
            <w:r>
              <w:rPr>
                <w:b/>
                <w:bCs/>
                <w:color w:val="FFFFFF"/>
                <w:sz w:val="18"/>
                <w:szCs w:val="18"/>
              </w:rPr>
              <w:t>Purpose</w:t>
            </w:r>
          </w:p>
        </w:tc>
        <w:tc>
          <w:tcPr>
            <w:tcW w:w="2160" w:type="dxa"/>
            <w:tcBorders>
              <w:top w:val="single" w:sz="1" w:space="0" w:color="7C5CFC"/>
              <w:left w:val="single" w:sz="1" w:space="0" w:color="7C5CFC"/>
              <w:bottom w:val="single" w:sz="1" w:space="0" w:color="7C5CFC"/>
              <w:right w:val="single" w:sz="1" w:space="0" w:color="7C5CFC"/>
            </w:tcBorders>
            <w:shd w:val="clear" w:color="auto" w:fill="7C5CFC"/>
            <w:tcMar>
              <w:top w:w="100" w:type="dxa"/>
              <w:left w:w="140" w:type="dxa"/>
              <w:bottom w:w="100" w:type="dxa"/>
              <w:right w:w="140" w:type="dxa"/>
            </w:tcMar>
            <w:vAlign w:val="center"/>
          </w:tcPr>
          <w:p w14:paraId="318B0868" w14:textId="77777777" w:rsidR="00CE7B89" w:rsidRDefault="00CE7B89">
            <w:r>
              <w:rPr>
                <w:b/>
                <w:bCs/>
                <w:color w:val="FFFFFF"/>
                <w:sz w:val="18"/>
                <w:szCs w:val="18"/>
              </w:rPr>
              <w:t>Status</w:t>
            </w:r>
          </w:p>
        </w:tc>
      </w:tr>
      <w:tr w:rsidR="00CE7B89" w14:paraId="318B086E" w14:textId="77777777" w:rsidTr="00CE7B89">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8B086A" w14:textId="77777777" w:rsidR="00CE7B89" w:rsidRDefault="00CE7B89">
            <w:r>
              <w:rPr>
                <w:b/>
                <w:bCs/>
                <w:color w:val="1A1A2E"/>
                <w:sz w:val="18"/>
                <w:szCs w:val="18"/>
              </w:rPr>
              <w:t>Value Map Builder</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8B086B" w14:textId="77777777" w:rsidR="00CE7B89" w:rsidRDefault="00CE7B89">
            <w:r>
              <w:rPr>
                <w:color w:val="1A1A2E"/>
                <w:sz w:val="18"/>
                <w:szCs w:val="18"/>
              </w:rPr>
              <w:t>7-layer account value map with web research &amp; multi-file upload</w:t>
            </w:r>
          </w:p>
        </w:tc>
        <w:tc>
          <w:tcPr>
            <w:tcW w:w="2160" w:type="dxa"/>
            <w:tcBorders>
              <w:top w:val="single" w:sz="1" w:space="0" w:color="C4B5FD"/>
              <w:left w:val="single" w:sz="1" w:space="0" w:color="C4B5FD"/>
              <w:bottom w:val="single" w:sz="1" w:space="0" w:color="C4B5FD"/>
              <w:right w:val="single" w:sz="1" w:space="0" w:color="C4B5FD"/>
            </w:tcBorders>
            <w:shd w:val="clear" w:color="auto" w:fill="F5F5F5"/>
            <w:tcMar>
              <w:top w:w="80" w:type="dxa"/>
              <w:left w:w="140" w:type="dxa"/>
              <w:bottom w:w="80" w:type="dxa"/>
              <w:right w:w="140" w:type="dxa"/>
            </w:tcMar>
          </w:tcPr>
          <w:p w14:paraId="318B086D" w14:textId="66693B7F" w:rsidR="00CE7B89" w:rsidRDefault="00CE7B89">
            <w:r>
              <w:rPr>
                <w:color w:val="1A1A2E"/>
                <w:sz w:val="18"/>
                <w:szCs w:val="18"/>
              </w:rPr>
              <w:t>Built</w:t>
            </w:r>
          </w:p>
        </w:tc>
      </w:tr>
      <w:tr w:rsidR="00CE7B89" w14:paraId="318B0873" w14:textId="77777777" w:rsidTr="00CE7B8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B086F" w14:textId="77777777" w:rsidR="00CE7B89" w:rsidRDefault="00CE7B89">
            <w:r>
              <w:rPr>
                <w:b/>
                <w:bCs/>
                <w:color w:val="1A1A2E"/>
                <w:sz w:val="18"/>
                <w:szCs w:val="18"/>
              </w:rPr>
              <w:t>Account Brief</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B0870" w14:textId="77777777" w:rsidR="00CE7B89" w:rsidRDefault="00CE7B89">
            <w:r>
              <w:rPr>
                <w:color w:val="1A1A2E"/>
                <w:sz w:val="18"/>
                <w:szCs w:val="18"/>
              </w:rPr>
              <w:t>Multi-pass pre-call research brief generator</w:t>
            </w:r>
          </w:p>
        </w:tc>
        <w:tc>
          <w:tcPr>
            <w:tcW w:w="2160" w:type="dxa"/>
            <w:tcBorders>
              <w:top w:val="single" w:sz="1" w:space="0" w:color="C4B5FD"/>
              <w:left w:val="single" w:sz="1" w:space="0" w:color="C4B5FD"/>
              <w:bottom w:val="single" w:sz="1" w:space="0" w:color="C4B5FD"/>
              <w:right w:val="single" w:sz="1" w:space="0" w:color="C4B5FD"/>
            </w:tcBorders>
            <w:shd w:val="clear" w:color="auto" w:fill="FFFFFF"/>
            <w:tcMar>
              <w:top w:w="80" w:type="dxa"/>
              <w:left w:w="140" w:type="dxa"/>
              <w:bottom w:w="80" w:type="dxa"/>
              <w:right w:w="140" w:type="dxa"/>
            </w:tcMar>
          </w:tcPr>
          <w:p w14:paraId="318B0872" w14:textId="5C00845A" w:rsidR="00CE7B89" w:rsidRDefault="00CE7B89">
            <w:r>
              <w:rPr>
                <w:color w:val="1A1A2E"/>
                <w:sz w:val="18"/>
                <w:szCs w:val="18"/>
              </w:rPr>
              <w:t>Built</w:t>
            </w:r>
          </w:p>
        </w:tc>
      </w:tr>
      <w:tr w:rsidR="00CE7B89" w14:paraId="318B0878" w14:textId="77777777" w:rsidTr="00CE7B89">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8B0874" w14:textId="77777777" w:rsidR="00CE7B89" w:rsidRDefault="00CE7B89">
            <w:r>
              <w:rPr>
                <w:b/>
                <w:bCs/>
                <w:color w:val="1A1A2E"/>
                <w:sz w:val="18"/>
                <w:szCs w:val="18"/>
              </w:rPr>
              <w:t>Demo Brief</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8B0875" w14:textId="77777777" w:rsidR="00CE7B89" w:rsidRDefault="00CE7B89">
            <w:r>
              <w:rPr>
                <w:color w:val="1A1A2E"/>
                <w:sz w:val="18"/>
                <w:szCs w:val="18"/>
              </w:rPr>
              <w:t>Demo preparation tool for AEs and SEs</w:t>
            </w:r>
          </w:p>
        </w:tc>
        <w:tc>
          <w:tcPr>
            <w:tcW w:w="2160" w:type="dxa"/>
            <w:tcBorders>
              <w:top w:val="single" w:sz="1" w:space="0" w:color="C4B5FD"/>
              <w:left w:val="single" w:sz="1" w:space="0" w:color="C4B5FD"/>
              <w:bottom w:val="single" w:sz="1" w:space="0" w:color="C4B5FD"/>
              <w:right w:val="single" w:sz="1" w:space="0" w:color="C4B5FD"/>
            </w:tcBorders>
            <w:shd w:val="clear" w:color="auto" w:fill="F5F5F5"/>
            <w:tcMar>
              <w:top w:w="80" w:type="dxa"/>
              <w:left w:w="140" w:type="dxa"/>
              <w:bottom w:w="80" w:type="dxa"/>
              <w:right w:w="140" w:type="dxa"/>
            </w:tcMar>
          </w:tcPr>
          <w:p w14:paraId="318B0877" w14:textId="76665A88" w:rsidR="00CE7B89" w:rsidRDefault="00CE7B89">
            <w:r>
              <w:rPr>
                <w:color w:val="1A1A2E"/>
                <w:sz w:val="18"/>
                <w:szCs w:val="18"/>
              </w:rPr>
              <w:t>Built</w:t>
            </w:r>
          </w:p>
        </w:tc>
      </w:tr>
      <w:tr w:rsidR="00CE7B89" w14:paraId="318B087D" w14:textId="77777777" w:rsidTr="00CE7B8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B0879" w14:textId="77777777" w:rsidR="00CE7B89" w:rsidRDefault="00CE7B89">
            <w:r>
              <w:rPr>
                <w:b/>
                <w:bCs/>
                <w:color w:val="1A1A2E"/>
                <w:sz w:val="18"/>
                <w:szCs w:val="18"/>
              </w:rPr>
              <w:t>Sales Intelligence Hub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B087A" w14:textId="77777777" w:rsidR="00CE7B89" w:rsidRDefault="00CE7B89">
            <w:r>
              <w:rPr>
                <w:color w:val="1A1A2E"/>
                <w:sz w:val="18"/>
                <w:szCs w:val="18"/>
              </w:rPr>
              <w:t>Central landing page linking all tools with pipeline visualization</w:t>
            </w:r>
          </w:p>
        </w:tc>
        <w:tc>
          <w:tcPr>
            <w:tcW w:w="2160" w:type="dxa"/>
            <w:tcBorders>
              <w:top w:val="single" w:sz="1" w:space="0" w:color="C4B5FD"/>
              <w:left w:val="single" w:sz="1" w:space="0" w:color="C4B5FD"/>
              <w:bottom w:val="single" w:sz="1" w:space="0" w:color="C4B5FD"/>
              <w:right w:val="single" w:sz="1" w:space="0" w:color="C4B5FD"/>
            </w:tcBorders>
            <w:shd w:val="clear" w:color="auto" w:fill="FFFFFF"/>
            <w:tcMar>
              <w:top w:w="80" w:type="dxa"/>
              <w:left w:w="140" w:type="dxa"/>
              <w:bottom w:w="80" w:type="dxa"/>
              <w:right w:w="140" w:type="dxa"/>
            </w:tcMar>
          </w:tcPr>
          <w:p w14:paraId="318B087C" w14:textId="18D4E9B3" w:rsidR="00CE7B89" w:rsidRDefault="00CE7B89">
            <w:r>
              <w:rPr>
                <w:color w:val="1A1A2E"/>
                <w:sz w:val="18"/>
                <w:szCs w:val="18"/>
              </w:rPr>
              <w:t>Built</w:t>
            </w:r>
          </w:p>
        </w:tc>
      </w:tr>
      <w:tr w:rsidR="00CE7B89" w14:paraId="318B0882" w14:textId="77777777" w:rsidTr="00CE7B89">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8B087E" w14:textId="77777777" w:rsidR="00CE7B89" w:rsidRDefault="00CE7B89">
            <w:r>
              <w:rPr>
                <w:b/>
                <w:bCs/>
                <w:color w:val="1A1A2E"/>
                <w:sz w:val="18"/>
                <w:szCs w:val="18"/>
              </w:rPr>
              <w:t>Qualify IQ</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8B087F" w14:textId="77777777" w:rsidR="00CE7B89" w:rsidRDefault="00CE7B89">
            <w:r>
              <w:rPr>
                <w:color w:val="1A1A2E"/>
                <w:sz w:val="18"/>
                <w:szCs w:val="18"/>
              </w:rPr>
              <w:t>MEDDPICC deal qualification via transcript analysis — Salesforce-ready output</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8B0881" w14:textId="33DD787B" w:rsidR="00CE7B89" w:rsidRDefault="00CE7B89">
            <w:r>
              <w:rPr>
                <w:color w:val="1A1A2E"/>
                <w:sz w:val="18"/>
                <w:szCs w:val="18"/>
              </w:rPr>
              <w:t>Built</w:t>
            </w:r>
          </w:p>
        </w:tc>
      </w:tr>
      <w:tr w:rsidR="00CE7B89" w14:paraId="318B0887" w14:textId="77777777" w:rsidTr="00CE7B8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B0883" w14:textId="77777777" w:rsidR="00CE7B89" w:rsidRDefault="00CE7B89">
            <w:r>
              <w:rPr>
                <w:b/>
                <w:bCs/>
                <w:color w:val="1A1A2E"/>
                <w:sz w:val="18"/>
                <w:szCs w:val="18"/>
              </w:rPr>
              <w:t>Prospecting Agent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B0884" w14:textId="77777777" w:rsidR="00CE7B89" w:rsidRDefault="00CE7B89">
            <w:r>
              <w:rPr>
                <w:color w:val="1A1A2E"/>
                <w:sz w:val="18"/>
                <w:szCs w:val="18"/>
              </w:rPr>
              <w:t>3-pass ICP + signal research + outreach brief generator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B0886" w14:textId="12A4FF3E" w:rsidR="00CE7B89" w:rsidRDefault="00CE7B89">
            <w:r>
              <w:rPr>
                <w:color w:val="1A1A2E"/>
                <w:sz w:val="18"/>
                <w:szCs w:val="18"/>
              </w:rPr>
              <w:t>Built</w:t>
            </w:r>
          </w:p>
        </w:tc>
      </w:tr>
      <w:tr w:rsidR="00CE7B89" w14:paraId="30620882" w14:textId="77777777" w:rsidTr="00CE7B8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5B1A20" w14:textId="01748EDF" w:rsidR="00CE7B89" w:rsidRDefault="00CE7B89">
            <w:pPr>
              <w:rPr>
                <w:b/>
                <w:bCs/>
                <w:color w:val="1A1A2E"/>
                <w:sz w:val="18"/>
                <w:szCs w:val="18"/>
              </w:rPr>
            </w:pPr>
            <w:r>
              <w:rPr>
                <w:b/>
                <w:bCs/>
                <w:color w:val="1A1A2E"/>
                <w:sz w:val="18"/>
                <w:szCs w:val="18"/>
              </w:rPr>
              <w:t>Win Room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064A0A" w14:textId="35880D40" w:rsidR="00CE7B89" w:rsidRDefault="00CE7B89">
            <w:pPr>
              <w:rPr>
                <w:color w:val="1A1A2E"/>
                <w:sz w:val="18"/>
                <w:szCs w:val="18"/>
              </w:rPr>
            </w:pPr>
            <w:r>
              <w:rPr>
                <w:color w:val="1A1A2E"/>
                <w:sz w:val="18"/>
                <w:szCs w:val="18"/>
              </w:rPr>
              <w:t>Deal strategy and feedback</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534A9B" w14:textId="188E2F43" w:rsidR="00CE7B89" w:rsidRDefault="00CE7B89">
            <w:pPr>
              <w:rPr>
                <w:color w:val="1A1A2E"/>
                <w:sz w:val="18"/>
                <w:szCs w:val="18"/>
              </w:rPr>
            </w:pPr>
            <w:r>
              <w:rPr>
                <w:color w:val="1A1A2E"/>
                <w:sz w:val="18"/>
                <w:szCs w:val="18"/>
              </w:rPr>
              <w:t>Built</w:t>
            </w:r>
          </w:p>
        </w:tc>
      </w:tr>
      <w:tr w:rsidR="00CE7B89" w14:paraId="0F28A464" w14:textId="77777777" w:rsidTr="00CE7B89">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A165B8" w14:textId="4F3FA20E" w:rsidR="00CE7B89" w:rsidRDefault="00CE7B89">
            <w:pPr>
              <w:rPr>
                <w:b/>
                <w:bCs/>
                <w:color w:val="1A1A2E"/>
                <w:sz w:val="18"/>
                <w:szCs w:val="18"/>
              </w:rPr>
            </w:pPr>
            <w:r>
              <w:rPr>
                <w:b/>
                <w:bCs/>
                <w:color w:val="1A1A2E"/>
                <w:sz w:val="18"/>
                <w:szCs w:val="18"/>
              </w:rPr>
              <w:t>Admin Panel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C81D9B" w14:textId="1DE7F975" w:rsidR="00CE7B89" w:rsidRDefault="00CE7B89">
            <w:pPr>
              <w:rPr>
                <w:color w:val="1A1A2E"/>
                <w:sz w:val="18"/>
                <w:szCs w:val="18"/>
              </w:rPr>
            </w:pPr>
            <w:r>
              <w:rPr>
                <w:color w:val="1A1A2E"/>
                <w:sz w:val="18"/>
                <w:szCs w:val="18"/>
              </w:rPr>
              <w:t>Control panel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24B461" w14:textId="00DB4228" w:rsidR="00CE7B89" w:rsidRDefault="00CE7B89">
            <w:pPr>
              <w:rPr>
                <w:color w:val="1A1A2E"/>
                <w:sz w:val="18"/>
                <w:szCs w:val="18"/>
              </w:rPr>
            </w:pPr>
            <w:r>
              <w:rPr>
                <w:color w:val="1A1A2E"/>
                <w:sz w:val="18"/>
                <w:szCs w:val="18"/>
              </w:rPr>
              <w:t>In Dev</w:t>
            </w:r>
          </w:p>
        </w:tc>
      </w:tr>
    </w:tbl>
    <w:p w14:paraId="318B0888" w14:textId="77777777" w:rsidR="00E60D7C" w:rsidRDefault="00E60D7C">
      <w:pPr>
        <w:spacing w:before="140"/>
      </w:pPr>
    </w:p>
    <w:p w14:paraId="318B0889" w14:textId="77777777" w:rsidR="00E60D7C" w:rsidRDefault="00000000">
      <w:pPr>
        <w:pStyle w:val="Heading1"/>
        <w:pBdr>
          <w:bottom w:val="single" w:sz="6" w:space="4" w:color="7C5CFC"/>
        </w:pBdr>
      </w:pPr>
      <w:r>
        <w:lastRenderedPageBreak/>
        <w:t>3. Current Architecture</w:t>
      </w:r>
    </w:p>
    <w:p w14:paraId="318B088A" w14:textId="77777777" w:rsidR="00E60D7C" w:rsidRDefault="00000000">
      <w:pPr>
        <w:pStyle w:val="Heading2"/>
      </w:pPr>
      <w:r>
        <w:t>3.1 Deployment Model</w:t>
      </w:r>
    </w:p>
    <w:p w14:paraId="318B088B" w14:textId="77777777" w:rsidR="00E60D7C" w:rsidRDefault="00000000">
      <w:pPr>
        <w:pStyle w:val="ListParagraph"/>
        <w:numPr>
          <w:ilvl w:val="0"/>
          <w:numId w:val="2"/>
        </w:numPr>
        <w:spacing w:before="40" w:after="40"/>
      </w:pPr>
      <w:r>
        <w:rPr>
          <w:color w:val="1A1A2E"/>
          <w:sz w:val="18"/>
          <w:szCs w:val="18"/>
        </w:rPr>
        <w:t>All tools are single self-contained index.html files — no build process, no dependencies</w:t>
      </w:r>
    </w:p>
    <w:p w14:paraId="318B088C" w14:textId="77777777" w:rsidR="00E60D7C" w:rsidRDefault="00000000">
      <w:pPr>
        <w:pStyle w:val="ListParagraph"/>
        <w:numPr>
          <w:ilvl w:val="0"/>
          <w:numId w:val="2"/>
        </w:numPr>
        <w:spacing w:before="40" w:after="40"/>
      </w:pPr>
      <w:r>
        <w:rPr>
          <w:color w:val="1A1A2E"/>
          <w:sz w:val="18"/>
          <w:szCs w:val="18"/>
        </w:rPr>
        <w:t>Assets (logos, favicons, fonts) are base64-encoded inline — zero external file dependencies</w:t>
      </w:r>
    </w:p>
    <w:p w14:paraId="318B088D" w14:textId="64D192B1" w:rsidR="00E60D7C" w:rsidRDefault="00000000">
      <w:pPr>
        <w:pStyle w:val="ListParagraph"/>
        <w:numPr>
          <w:ilvl w:val="0"/>
          <w:numId w:val="2"/>
        </w:numPr>
        <w:spacing w:before="40" w:after="40"/>
      </w:pPr>
      <w:r>
        <w:rPr>
          <w:color w:val="1A1A2E"/>
          <w:sz w:val="18"/>
          <w:szCs w:val="18"/>
        </w:rPr>
        <w:t>Deployed via drag-and-drop to Vercel — no CI/CD pipeline currently</w:t>
      </w:r>
    </w:p>
    <w:p w14:paraId="318B088E" w14:textId="23797046" w:rsidR="00E60D7C" w:rsidRDefault="00000000">
      <w:pPr>
        <w:pStyle w:val="ListParagraph"/>
        <w:numPr>
          <w:ilvl w:val="0"/>
          <w:numId w:val="2"/>
        </w:numPr>
        <w:spacing w:before="40" w:after="40"/>
      </w:pPr>
      <w:r>
        <w:rPr>
          <w:color w:val="1A1A2E"/>
          <w:sz w:val="18"/>
          <w:szCs w:val="18"/>
        </w:rPr>
        <w:t>Each tool is independently deployed at its own Vercel subdomain</w:t>
      </w:r>
    </w:p>
    <w:p w14:paraId="318B088F" w14:textId="77777777" w:rsidR="00E60D7C" w:rsidRDefault="00E60D7C">
      <w:pPr>
        <w:spacing w:before="100"/>
      </w:pPr>
    </w:p>
    <w:p w14:paraId="318B0890" w14:textId="77777777" w:rsidR="00E60D7C" w:rsidRDefault="00000000">
      <w:pPr>
        <w:pStyle w:val="Heading2"/>
      </w:pPr>
      <w:r>
        <w:t>3.2 API Architecture</w:t>
      </w:r>
    </w:p>
    <w:p w14:paraId="318B0891" w14:textId="77777777" w:rsidR="00E60D7C" w:rsidRDefault="00000000">
      <w:pPr>
        <w:pStyle w:val="ListParagraph"/>
        <w:numPr>
          <w:ilvl w:val="0"/>
          <w:numId w:val="2"/>
        </w:numPr>
        <w:spacing w:before="40" w:after="40"/>
      </w:pPr>
      <w:r>
        <w:rPr>
          <w:color w:val="1A1A2E"/>
          <w:sz w:val="18"/>
          <w:szCs w:val="18"/>
        </w:rPr>
        <w:t>All tools route API calls through a serverless proxy endpoint (/api/claude), which forwards requests to the Anthropic API server-side — the API key is never exposed to the browser</w:t>
      </w:r>
    </w:p>
    <w:p w14:paraId="318B0892" w14:textId="77777777" w:rsidR="00E60D7C" w:rsidRDefault="00000000">
      <w:pPr>
        <w:pStyle w:val="ListParagraph"/>
        <w:numPr>
          <w:ilvl w:val="0"/>
          <w:numId w:val="2"/>
        </w:numPr>
        <w:spacing w:before="40" w:after="40"/>
      </w:pPr>
      <w:r>
        <w:rPr>
          <w:b/>
          <w:bCs/>
          <w:color w:val="1A1A2E"/>
          <w:sz w:val="18"/>
          <w:szCs w:val="18"/>
        </w:rPr>
        <w:t xml:space="preserve">Critical: </w:t>
      </w:r>
      <w:r>
        <w:rPr>
          <w:color w:val="1A1A2E"/>
          <w:sz w:val="18"/>
          <w:szCs w:val="18"/>
        </w:rPr>
        <w:t>Required headers on every call:</w:t>
      </w:r>
    </w:p>
    <w:p w14:paraId="318B0893" w14:textId="77777777" w:rsidR="00E60D7C" w:rsidRDefault="00000000">
      <w:pPr>
        <w:pStyle w:val="ListParagraph"/>
        <w:numPr>
          <w:ilvl w:val="0"/>
          <w:numId w:val="3"/>
        </w:numPr>
        <w:spacing w:before="20" w:after="20"/>
      </w:pPr>
      <w:r>
        <w:rPr>
          <w:color w:val="4B4B6B"/>
          <w:sz w:val="17"/>
          <w:szCs w:val="17"/>
        </w:rPr>
        <w:t>Content-Type: application/json</w:t>
      </w:r>
    </w:p>
    <w:p w14:paraId="318B0894" w14:textId="77777777" w:rsidR="00E60D7C" w:rsidRDefault="00000000">
      <w:pPr>
        <w:pStyle w:val="ListParagraph"/>
        <w:numPr>
          <w:ilvl w:val="0"/>
          <w:numId w:val="3"/>
        </w:numPr>
        <w:spacing w:before="20" w:after="20"/>
      </w:pPr>
      <w:r>
        <w:rPr>
          <w:color w:val="4B4B6B"/>
          <w:sz w:val="17"/>
          <w:szCs w:val="17"/>
        </w:rPr>
        <w:t>anthropic-version: 2023-06-01</w:t>
      </w:r>
    </w:p>
    <w:p w14:paraId="318B0895" w14:textId="77777777" w:rsidR="00E60D7C" w:rsidRDefault="00000000">
      <w:pPr>
        <w:pStyle w:val="ListParagraph"/>
        <w:numPr>
          <w:ilvl w:val="0"/>
          <w:numId w:val="3"/>
        </w:numPr>
        <w:spacing w:before="20" w:after="20"/>
      </w:pPr>
      <w:r>
        <w:rPr>
          <w:color w:val="4B4B6B"/>
          <w:sz w:val="17"/>
          <w:szCs w:val="17"/>
        </w:rPr>
        <w:t>Authorization: Bearer [proxied server-side — not sent from browser]</w:t>
      </w:r>
    </w:p>
    <w:p w14:paraId="318B0896" w14:textId="77777777" w:rsidR="00E60D7C" w:rsidRDefault="00000000">
      <w:pPr>
        <w:pStyle w:val="ListParagraph"/>
        <w:numPr>
          <w:ilvl w:val="0"/>
          <w:numId w:val="3"/>
        </w:numPr>
        <w:spacing w:before="20" w:after="20"/>
      </w:pPr>
      <w:r>
        <w:rPr>
          <w:color w:val="4B4B6B"/>
          <w:sz w:val="17"/>
          <w:szCs w:val="17"/>
        </w:rPr>
        <w:t>x-api-key: [API_KEY]</w:t>
      </w:r>
    </w:p>
    <w:p w14:paraId="318B0897" w14:textId="77777777" w:rsidR="00E60D7C" w:rsidRDefault="00000000">
      <w:pPr>
        <w:pStyle w:val="ListParagraph"/>
        <w:numPr>
          <w:ilvl w:val="0"/>
          <w:numId w:val="2"/>
        </w:numPr>
        <w:spacing w:before="40" w:after="40"/>
      </w:pPr>
      <w:r>
        <w:rPr>
          <w:color w:val="1A1A2E"/>
          <w:sz w:val="18"/>
          <w:szCs w:val="18"/>
        </w:rPr>
        <w:t>The proxy endpoint handles header injection, CORS, and API key forwarding — all calls are authenticated server-side</w:t>
      </w:r>
    </w:p>
    <w:p w14:paraId="318B0898" w14:textId="77777777" w:rsidR="00E60D7C" w:rsidRDefault="00000000">
      <w:pPr>
        <w:pStyle w:val="ListParagraph"/>
        <w:numPr>
          <w:ilvl w:val="0"/>
          <w:numId w:val="2"/>
        </w:numPr>
        <w:spacing w:before="40" w:after="40"/>
      </w:pPr>
      <w:r>
        <w:rPr>
          <w:color w:val="1A1A2E"/>
          <w:sz w:val="18"/>
          <w:szCs w:val="18"/>
        </w:rPr>
        <w:t>The API key is stored as a server-side environment variable on the deployment platform — it is not present in any client-side code or browser requests</w:t>
      </w:r>
    </w:p>
    <w:p w14:paraId="318B0899" w14:textId="77777777" w:rsidR="00E60D7C" w:rsidRDefault="00E60D7C">
      <w:pPr>
        <w:spacing w:before="100"/>
      </w:pPr>
    </w:p>
    <w:p w14:paraId="318B089A" w14:textId="77777777" w:rsidR="00E60D7C" w:rsidRDefault="00000000">
      <w:pPr>
        <w:pStyle w:val="Heading2"/>
      </w:pPr>
      <w:r>
        <w:t>3.3 Multi-Pass Research Architecture</w:t>
      </w:r>
    </w:p>
    <w:p w14:paraId="318B089B" w14:textId="77777777" w:rsidR="00E60D7C" w:rsidRDefault="00000000">
      <w:pPr>
        <w:spacing w:before="60" w:after="60"/>
      </w:pPr>
      <w:r>
        <w:rPr>
          <w:color w:val="1A1A2E"/>
          <w:sz w:val="18"/>
          <w:szCs w:val="18"/>
        </w:rPr>
        <w:t>Research-heavy tools (Value Map Builder, Account Brief, Demo Brief) use a sequential multi-pass pipeline:</w:t>
      </w:r>
    </w:p>
    <w:p w14:paraId="318B089C" w14:textId="77777777" w:rsidR="00E60D7C" w:rsidRDefault="00000000">
      <w:pPr>
        <w:pStyle w:val="ListParagraph"/>
        <w:numPr>
          <w:ilvl w:val="0"/>
          <w:numId w:val="2"/>
        </w:numPr>
        <w:spacing w:before="40" w:after="40"/>
      </w:pPr>
      <w:r>
        <w:rPr>
          <w:color w:val="1A1A2E"/>
          <w:sz w:val="18"/>
          <w:szCs w:val="18"/>
        </w:rPr>
        <w:t>Pass 1–2: Factual research via web search (Claude with web_search tool enabled)</w:t>
      </w:r>
    </w:p>
    <w:p w14:paraId="318B089D" w14:textId="77777777" w:rsidR="00E60D7C" w:rsidRDefault="00000000">
      <w:pPr>
        <w:pStyle w:val="ListParagraph"/>
        <w:numPr>
          <w:ilvl w:val="0"/>
          <w:numId w:val="2"/>
        </w:numPr>
        <w:spacing w:before="40" w:after="40"/>
      </w:pPr>
      <w:r>
        <w:rPr>
          <w:color w:val="1A1A2E"/>
          <w:sz w:val="18"/>
          <w:szCs w:val="18"/>
        </w:rPr>
        <w:t>Pass 3–4: Analytical synthesis and structured output generation</w:t>
      </w:r>
    </w:p>
    <w:p w14:paraId="318B089E" w14:textId="77777777" w:rsidR="00E60D7C" w:rsidRDefault="00000000">
      <w:pPr>
        <w:pStyle w:val="ListParagraph"/>
        <w:numPr>
          <w:ilvl w:val="0"/>
          <w:numId w:val="2"/>
        </w:numPr>
        <w:spacing w:before="40" w:after="40"/>
      </w:pPr>
      <w:r>
        <w:rPr>
          <w:color w:val="1A1A2E"/>
          <w:sz w:val="18"/>
          <w:szCs w:val="18"/>
        </w:rPr>
        <w:t>2–3 second delays between passes prevent API rate limiting and token truncation</w:t>
      </w:r>
    </w:p>
    <w:p w14:paraId="318B089F" w14:textId="77777777" w:rsidR="00E60D7C" w:rsidRDefault="00000000">
      <w:pPr>
        <w:pStyle w:val="ListParagraph"/>
        <w:numPr>
          <w:ilvl w:val="0"/>
          <w:numId w:val="2"/>
        </w:numPr>
        <w:spacing w:before="40" w:after="40"/>
      </w:pPr>
      <w:r>
        <w:rPr>
          <w:color w:val="1A1A2E"/>
          <w:sz w:val="18"/>
          <w:szCs w:val="18"/>
        </w:rPr>
        <w:t>Splitting factual and analytical passes avoids JSON response cutoff at token boundaries</w:t>
      </w:r>
    </w:p>
    <w:p w14:paraId="318B08A0" w14:textId="77777777" w:rsidR="00E60D7C" w:rsidRDefault="00000000">
      <w:pPr>
        <w:pStyle w:val="ListParagraph"/>
        <w:numPr>
          <w:ilvl w:val="0"/>
          <w:numId w:val="2"/>
        </w:numPr>
        <w:spacing w:before="40" w:after="40"/>
      </w:pPr>
      <w:r>
        <w:rPr>
          <w:color w:val="1A1A2E"/>
          <w:sz w:val="18"/>
          <w:szCs w:val="18"/>
        </w:rPr>
        <w:t>max_tokens set per-pass — low values cause silent truncation and fallback to 'No information available'</w:t>
      </w:r>
    </w:p>
    <w:p w14:paraId="318B08A1" w14:textId="77777777" w:rsidR="00E60D7C" w:rsidRDefault="00E60D7C">
      <w:pPr>
        <w:spacing w:before="100"/>
      </w:pPr>
    </w:p>
    <w:p w14:paraId="318B08A2" w14:textId="77777777" w:rsidR="00E60D7C" w:rsidRDefault="00000000">
      <w:pPr>
        <w:pStyle w:val="Heading2"/>
      </w:pPr>
      <w:r>
        <w:t>3.4 Data Persistence</w:t>
      </w:r>
    </w:p>
    <w:p w14:paraId="318B08A3" w14:textId="6E31BDB1" w:rsidR="00E60D7C" w:rsidRDefault="00CE7B89">
      <w:pPr>
        <w:pStyle w:val="ListParagraph"/>
        <w:numPr>
          <w:ilvl w:val="0"/>
          <w:numId w:val="2"/>
        </w:numPr>
        <w:spacing w:before="40" w:after="40"/>
      </w:pPr>
      <w:r>
        <w:rPr>
          <w:color w:val="1A1A2E"/>
          <w:sz w:val="18"/>
          <w:szCs w:val="18"/>
        </w:rPr>
        <w:t>Currently, all current tools use browser localStorage for session persistence</w:t>
      </w:r>
    </w:p>
    <w:p w14:paraId="318B08A4" w14:textId="77777777" w:rsidR="00E60D7C" w:rsidRDefault="00000000">
      <w:pPr>
        <w:pStyle w:val="ListParagraph"/>
        <w:numPr>
          <w:ilvl w:val="0"/>
          <w:numId w:val="2"/>
        </w:numPr>
        <w:spacing w:before="40" w:after="40"/>
      </w:pPr>
      <w:r>
        <w:rPr>
          <w:color w:val="1A1A2E"/>
          <w:sz w:val="18"/>
          <w:szCs w:val="18"/>
        </w:rPr>
        <w:t>No server-side storage exists today — data does not persist across devices or browsers</w:t>
      </w:r>
    </w:p>
    <w:p w14:paraId="318B08A5" w14:textId="77777777" w:rsidR="00E60D7C" w:rsidRDefault="00000000">
      <w:pPr>
        <w:pStyle w:val="ListParagraph"/>
        <w:numPr>
          <w:ilvl w:val="0"/>
          <w:numId w:val="2"/>
        </w:numPr>
        <w:spacing w:before="40" w:after="40"/>
      </w:pPr>
      <w:r>
        <w:rPr>
          <w:color w:val="1A1A2E"/>
          <w:sz w:val="18"/>
          <w:szCs w:val="18"/>
        </w:rPr>
        <w:t>Planned migration: MongoDB Atlas (or Cosmos DB) for shared, persistent storage</w:t>
      </w:r>
    </w:p>
    <w:p w14:paraId="318B08A6" w14:textId="77777777" w:rsidR="00E60D7C" w:rsidRDefault="00E60D7C">
      <w:pPr>
        <w:spacing w:before="140"/>
      </w:pPr>
    </w:p>
    <w:p w14:paraId="318B08A7" w14:textId="77777777" w:rsidR="00E60D7C" w:rsidRDefault="00000000">
      <w:pPr>
        <w:pStyle w:val="Heading1"/>
        <w:pBdr>
          <w:bottom w:val="single" w:sz="6" w:space="4" w:color="7C5CFC"/>
        </w:pBdr>
      </w:pPr>
      <w:r>
        <w:t>4. Proposed Infrastructure Stack (Migration Target)</w:t>
      </w:r>
    </w:p>
    <w:p w14:paraId="318B08A8" w14:textId="77777777" w:rsidR="00E60D7C" w:rsidRDefault="00000000">
      <w:pPr>
        <w:spacing w:before="60" w:after="60"/>
      </w:pPr>
      <w:r>
        <w:rPr>
          <w:color w:val="1A1A2E"/>
          <w:sz w:val="18"/>
          <w:szCs w:val="18"/>
        </w:rPr>
        <w:t>The following stack is proposed for the Conga-hosted deployment. Each layer has an Azure-native alternative noted where applicable:</w:t>
      </w:r>
    </w:p>
    <w:p w14:paraId="318B08A9" w14:textId="77777777" w:rsidR="00E60D7C" w:rsidRDefault="00E60D7C">
      <w:pPr>
        <w:spacing w:before="80"/>
      </w:pPr>
    </w:p>
    <w:tbl>
      <w:tblPr>
        <w:tblW w:w="6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360"/>
      </w:tblGrid>
      <w:tr w:rsidR="00CE7B89" w14:paraId="318B08AE" w14:textId="77777777" w:rsidTr="00CE7B89">
        <w:tc>
          <w:tcPr>
            <w:tcW w:w="1800" w:type="dxa"/>
            <w:tcBorders>
              <w:top w:val="single" w:sz="1" w:space="0" w:color="7C5CFC"/>
              <w:left w:val="single" w:sz="1" w:space="0" w:color="7C5CFC"/>
              <w:bottom w:val="single" w:sz="1" w:space="0" w:color="7C5CFC"/>
              <w:right w:val="single" w:sz="1" w:space="0" w:color="7C5CFC"/>
            </w:tcBorders>
            <w:shd w:val="clear" w:color="auto" w:fill="7C5CFC"/>
            <w:tcMar>
              <w:top w:w="100" w:type="dxa"/>
              <w:left w:w="140" w:type="dxa"/>
              <w:bottom w:w="100" w:type="dxa"/>
              <w:right w:w="140" w:type="dxa"/>
            </w:tcMar>
            <w:vAlign w:val="center"/>
          </w:tcPr>
          <w:p w14:paraId="318B08AA" w14:textId="77777777" w:rsidR="00CE7B89" w:rsidRDefault="00CE7B89">
            <w:r>
              <w:rPr>
                <w:b/>
                <w:bCs/>
                <w:color w:val="FFFFFF"/>
                <w:sz w:val="18"/>
                <w:szCs w:val="18"/>
              </w:rPr>
              <w:t>Layer</w:t>
            </w:r>
          </w:p>
        </w:tc>
        <w:tc>
          <w:tcPr>
            <w:tcW w:w="2600" w:type="dxa"/>
            <w:tcBorders>
              <w:top w:val="single" w:sz="1" w:space="0" w:color="7C5CFC"/>
              <w:left w:val="single" w:sz="1" w:space="0" w:color="7C5CFC"/>
              <w:bottom w:val="single" w:sz="1" w:space="0" w:color="7C5CFC"/>
              <w:right w:val="single" w:sz="1" w:space="0" w:color="7C5CFC"/>
            </w:tcBorders>
            <w:shd w:val="clear" w:color="auto" w:fill="7C5CFC"/>
            <w:tcMar>
              <w:top w:w="100" w:type="dxa"/>
              <w:left w:w="140" w:type="dxa"/>
              <w:bottom w:w="100" w:type="dxa"/>
              <w:right w:w="140" w:type="dxa"/>
            </w:tcMar>
            <w:vAlign w:val="center"/>
          </w:tcPr>
          <w:p w14:paraId="318B08AC" w14:textId="77777777" w:rsidR="00CE7B89" w:rsidRDefault="00CE7B89">
            <w:r>
              <w:rPr>
                <w:b/>
                <w:bCs/>
                <w:color w:val="FFFFFF"/>
                <w:sz w:val="18"/>
                <w:szCs w:val="18"/>
              </w:rPr>
              <w:t>Azure-Native Alternative</w:t>
            </w:r>
          </w:p>
        </w:tc>
        <w:tc>
          <w:tcPr>
            <w:tcW w:w="2360" w:type="dxa"/>
            <w:tcBorders>
              <w:top w:val="single" w:sz="1" w:space="0" w:color="7C5CFC"/>
              <w:left w:val="single" w:sz="1" w:space="0" w:color="7C5CFC"/>
              <w:bottom w:val="single" w:sz="1" w:space="0" w:color="7C5CFC"/>
              <w:right w:val="single" w:sz="1" w:space="0" w:color="7C5CFC"/>
            </w:tcBorders>
            <w:shd w:val="clear" w:color="auto" w:fill="7C5CFC"/>
            <w:tcMar>
              <w:top w:w="100" w:type="dxa"/>
              <w:left w:w="140" w:type="dxa"/>
              <w:bottom w:w="100" w:type="dxa"/>
              <w:right w:w="140" w:type="dxa"/>
            </w:tcMar>
            <w:vAlign w:val="center"/>
          </w:tcPr>
          <w:p w14:paraId="318B08AD" w14:textId="77777777" w:rsidR="00CE7B89" w:rsidRDefault="00CE7B89">
            <w:r>
              <w:rPr>
                <w:b/>
                <w:bCs/>
                <w:color w:val="FFFFFF"/>
                <w:sz w:val="18"/>
                <w:szCs w:val="18"/>
              </w:rPr>
              <w:t>Notes</w:t>
            </w:r>
          </w:p>
        </w:tc>
      </w:tr>
      <w:tr w:rsidR="00CE7B89" w14:paraId="318B08B3" w14:textId="77777777" w:rsidTr="00CE7B89">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8B08AF" w14:textId="77777777" w:rsidR="00CE7B89" w:rsidRDefault="00CE7B89">
            <w:r>
              <w:rPr>
                <w:b/>
                <w:bCs/>
                <w:color w:val="1A1A2E"/>
                <w:sz w:val="18"/>
                <w:szCs w:val="18"/>
              </w:rPr>
              <w:t>Frontend Hosting</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8B08B1" w14:textId="77777777" w:rsidR="00CE7B89" w:rsidRDefault="00CE7B89">
            <w:r>
              <w:rPr>
                <w:color w:val="1A1A2E"/>
                <w:sz w:val="18"/>
                <w:szCs w:val="18"/>
              </w:rPr>
              <w:t>Azure Blob + CDN</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8B08B2" w14:textId="64B38DB8" w:rsidR="00CE7B89" w:rsidRDefault="00CE7B89">
            <w:r>
              <w:rPr>
                <w:color w:val="1A1A2E"/>
                <w:sz w:val="18"/>
                <w:szCs w:val="18"/>
              </w:rPr>
              <w:t>Single-file HTML/CSS — no build needed</w:t>
            </w:r>
          </w:p>
        </w:tc>
      </w:tr>
      <w:tr w:rsidR="00CE7B89" w14:paraId="318B08B8" w14:textId="77777777" w:rsidTr="00CE7B89">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B08B4" w14:textId="77777777" w:rsidR="00CE7B89" w:rsidRDefault="00CE7B89">
            <w:r>
              <w:rPr>
                <w:b/>
                <w:bCs/>
                <w:color w:val="1A1A2E"/>
                <w:sz w:val="18"/>
                <w:szCs w:val="18"/>
              </w:rPr>
              <w:t>API Proxy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B08B6" w14:textId="77777777" w:rsidR="00CE7B89" w:rsidRDefault="00CE7B89">
            <w:r>
              <w:rPr>
                <w:color w:val="1A1A2E"/>
                <w:sz w:val="18"/>
                <w:szCs w:val="18"/>
              </w:rPr>
              <w:t>Azure Functions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B08B7" w14:textId="77777777" w:rsidR="00CE7B89" w:rsidRDefault="00CE7B89">
            <w:r>
              <w:rPr>
                <w:color w:val="1A1A2E"/>
                <w:sz w:val="18"/>
                <w:szCs w:val="18"/>
              </w:rPr>
              <w:t>Required if API key must move server-side</w:t>
            </w:r>
          </w:p>
        </w:tc>
      </w:tr>
      <w:tr w:rsidR="00CE7B89" w14:paraId="318B08BD" w14:textId="77777777" w:rsidTr="00CE7B89">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8B08B9" w14:textId="77777777" w:rsidR="00CE7B89" w:rsidRDefault="00CE7B89">
            <w:r>
              <w:rPr>
                <w:b/>
                <w:bCs/>
                <w:color w:val="1A1A2E"/>
                <w:sz w:val="18"/>
                <w:szCs w:val="18"/>
              </w:rPr>
              <w:lastRenderedPageBreak/>
              <w:t>Database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8B08BB" w14:textId="77777777" w:rsidR="00CE7B89" w:rsidRDefault="00CE7B89">
            <w:r>
              <w:rPr>
                <w:color w:val="1A1A2E"/>
                <w:sz w:val="18"/>
                <w:szCs w:val="18"/>
              </w:rPr>
              <w:t>Azure Cosmos DB (Mongo API)</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8B08BC" w14:textId="77777777" w:rsidR="00CE7B89" w:rsidRDefault="00CE7B89">
            <w:r>
              <w:rPr>
                <w:color w:val="1A1A2E"/>
                <w:sz w:val="18"/>
                <w:szCs w:val="18"/>
              </w:rPr>
              <w:t>Cosmos DB is preferred in Azure-native shops</w:t>
            </w:r>
          </w:p>
        </w:tc>
      </w:tr>
      <w:tr w:rsidR="00CE7B89" w14:paraId="318B08C2" w14:textId="77777777" w:rsidTr="00CE7B89">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B08BE" w14:textId="77777777" w:rsidR="00CE7B89" w:rsidRDefault="00CE7B89">
            <w:r>
              <w:rPr>
                <w:b/>
                <w:bCs/>
                <w:color w:val="1A1A2E"/>
                <w:sz w:val="18"/>
                <w:szCs w:val="18"/>
              </w:rPr>
              <w:t>Authentication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B08C0" w14:textId="77777777" w:rsidR="00CE7B89" w:rsidRDefault="00CE7B89">
            <w:r>
              <w:rPr>
                <w:color w:val="1A1A2E"/>
                <w:sz w:val="18"/>
                <w:szCs w:val="18"/>
              </w:rPr>
              <w:t>Azure AD / Entra ID (SSO)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B08C1" w14:textId="77777777" w:rsidR="00CE7B89" w:rsidRDefault="00CE7B89">
            <w:r>
              <w:rPr>
                <w:color w:val="1A1A2E"/>
                <w:sz w:val="18"/>
                <w:szCs w:val="18"/>
              </w:rPr>
              <w:t>Entra ID likely required for Conga SSO</w:t>
            </w:r>
          </w:p>
        </w:tc>
      </w:tr>
      <w:tr w:rsidR="00CE7B89" w14:paraId="318B08C7" w14:textId="77777777" w:rsidTr="00CE7B89">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8B08C3" w14:textId="77777777" w:rsidR="00CE7B89" w:rsidRDefault="00CE7B89">
            <w:r>
              <w:rPr>
                <w:b/>
                <w:bCs/>
                <w:color w:val="1A1A2E"/>
                <w:sz w:val="18"/>
                <w:szCs w:val="18"/>
              </w:rPr>
              <w:t>AI Model</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8B08C5" w14:textId="6D77E4E5" w:rsidR="00CE7B89" w:rsidRDefault="00CE7B89">
            <w:r>
              <w:rPr>
                <w:color w:val="1A1A2E"/>
                <w:sz w:val="18"/>
                <w:szCs w:val="18"/>
              </w:rPr>
              <w:t>Anthropic Claude API</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8B08C6" w14:textId="40E5448E" w:rsidR="00CE7B89" w:rsidRDefault="00CE7B89">
            <w:r>
              <w:rPr>
                <w:color w:val="1A1A2E"/>
                <w:sz w:val="18"/>
                <w:szCs w:val="18"/>
              </w:rPr>
              <w:t>Underlying reasoning engine</w:t>
            </w:r>
          </w:p>
        </w:tc>
      </w:tr>
      <w:tr w:rsidR="00CE7B89" w14:paraId="318B08CC" w14:textId="77777777" w:rsidTr="00CE7B89">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B08C8" w14:textId="77777777" w:rsidR="00CE7B89" w:rsidRDefault="00CE7B89">
            <w:r>
              <w:rPr>
                <w:b/>
                <w:bCs/>
                <w:color w:val="1A1A2E"/>
                <w:sz w:val="18"/>
                <w:szCs w:val="18"/>
              </w:rPr>
              <w:t>CI/CD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B08CA" w14:textId="505FE577" w:rsidR="00CE7B89" w:rsidRDefault="00CE7B89">
            <w:r>
              <w:rPr>
                <w:color w:val="1A1A2E"/>
                <w:sz w:val="18"/>
                <w:szCs w:val="18"/>
              </w:rPr>
              <w:t>GitHub</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B08CB" w14:textId="2E3C01A5" w:rsidR="00CE7B89" w:rsidRDefault="00CE7B89">
            <w:r>
              <w:rPr>
                <w:color w:val="1A1A2E"/>
                <w:sz w:val="18"/>
                <w:szCs w:val="18"/>
              </w:rPr>
              <w:t xml:space="preserve">Allows for Sales team to own setup and maintenance </w:t>
            </w:r>
          </w:p>
        </w:tc>
      </w:tr>
    </w:tbl>
    <w:p w14:paraId="318B08D1" w14:textId="77777777" w:rsidR="00E60D7C" w:rsidRDefault="00E60D7C">
      <w:pPr>
        <w:spacing w:before="140"/>
      </w:pPr>
    </w:p>
    <w:p w14:paraId="318B08D2" w14:textId="77777777" w:rsidR="00E60D7C" w:rsidRDefault="00000000">
      <w:pPr>
        <w:pStyle w:val="Heading1"/>
        <w:pBdr>
          <w:bottom w:val="single" w:sz="6" w:space="4" w:color="7C5CFC"/>
        </w:pBdr>
      </w:pPr>
      <w:r>
        <w:t>5. Key Technical Constraints &amp; Known Risk Areas</w:t>
      </w:r>
    </w:p>
    <w:p w14:paraId="318B08D3" w14:textId="77777777" w:rsidR="00E60D7C" w:rsidRDefault="00000000">
      <w:pPr>
        <w:pStyle w:val="Heading2"/>
      </w:pPr>
      <w:r>
        <w:t>5.1 CSP (Content Security Policy) — Highest Risk Item</w:t>
      </w:r>
    </w:p>
    <w:p w14:paraId="318B08D4" w14:textId="77777777" w:rsidR="00E60D7C" w:rsidRDefault="00000000">
      <w:pPr>
        <w:spacing w:before="60" w:after="60"/>
      </w:pPr>
      <w:r>
        <w:rPr>
          <w:color w:val="1A1A2E"/>
          <w:sz w:val="18"/>
          <w:szCs w:val="18"/>
        </w:rPr>
        <w:t>All Anthropic API calls are proxied server-side through a /api/claude endpoint — browsers never make direct calls to api.anthropic.com. This significantly reduces CSP surface area. The hosting environment must ensure:</w:t>
      </w:r>
    </w:p>
    <w:p w14:paraId="318B08D5" w14:textId="77777777" w:rsidR="00E60D7C" w:rsidRDefault="00000000">
      <w:pPr>
        <w:pStyle w:val="ListParagraph"/>
        <w:numPr>
          <w:ilvl w:val="0"/>
          <w:numId w:val="2"/>
        </w:numPr>
        <w:spacing w:before="40" w:after="40"/>
      </w:pPr>
      <w:r>
        <w:rPr>
          <w:color w:val="1A1A2E"/>
          <w:sz w:val="18"/>
          <w:szCs w:val="18"/>
        </w:rPr>
        <w:t>The serverless proxy function (e.g., Azure Functions) can reach api.anthropic.com outbound — this is a server-side network policy, not a browser CSP concern</w:t>
      </w:r>
    </w:p>
    <w:p w14:paraId="318B08D6" w14:textId="77777777" w:rsidR="00E60D7C" w:rsidRDefault="00000000">
      <w:pPr>
        <w:pStyle w:val="ListParagraph"/>
        <w:numPr>
          <w:ilvl w:val="0"/>
          <w:numId w:val="2"/>
        </w:numPr>
        <w:spacing w:before="40" w:after="40"/>
      </w:pPr>
      <w:r>
        <w:rPr>
          <w:color w:val="1A1A2E"/>
          <w:sz w:val="18"/>
          <w:szCs w:val="18"/>
        </w:rPr>
        <w:t>Browser fetch() calls are scoped to the same origin (e.g., /api/claude) — no cross-origin API calls are made from the client</w:t>
      </w:r>
    </w:p>
    <w:p w14:paraId="318B08D7" w14:textId="77777777" w:rsidR="00E60D7C" w:rsidRDefault="00000000">
      <w:pPr>
        <w:spacing w:before="60" w:after="60"/>
      </w:pPr>
      <w:r>
        <w:rPr>
          <w:color w:val="1A1A2E"/>
          <w:sz w:val="18"/>
          <w:szCs w:val="18"/>
        </w:rPr>
        <w:t>The primary CSP concern is reduced compared to direct-browser API patterns. Confirm that the proxy function’s outbound network egress to api.anthropic.com is permitted in the target hosting environment.</w:t>
      </w:r>
    </w:p>
    <w:p w14:paraId="318B08D8" w14:textId="77777777" w:rsidR="00E60D7C" w:rsidRDefault="00E60D7C">
      <w:pPr>
        <w:spacing w:before="80"/>
      </w:pPr>
    </w:p>
    <w:p w14:paraId="318B08D9" w14:textId="77777777" w:rsidR="00E60D7C" w:rsidRDefault="00000000">
      <w:pPr>
        <w:pStyle w:val="Heading2"/>
      </w:pPr>
      <w:r>
        <w:t>5.2 API Key Security</w:t>
      </w:r>
    </w:p>
    <w:p w14:paraId="7D0A3F7F" w14:textId="2CEB4B9A" w:rsidR="001B5D31" w:rsidRPr="001B5D31" w:rsidRDefault="001B5D31" w:rsidP="001B5D31">
      <w:pPr>
        <w:pStyle w:val="ListParagraph"/>
        <w:numPr>
          <w:ilvl w:val="0"/>
          <w:numId w:val="2"/>
        </w:numPr>
        <w:spacing w:before="40" w:after="40"/>
        <w:rPr>
          <w:color w:val="EE0000"/>
        </w:rPr>
      </w:pPr>
      <w:r>
        <w:rPr>
          <w:color w:val="1A1A2E"/>
          <w:sz w:val="18"/>
          <w:szCs w:val="18"/>
        </w:rPr>
        <w:t>The Anthropic API key is stored as a server-side environment variable and injected only at the proxy layer — it is not present in any HTML, JavaScript, or browser-accessible resource</w:t>
      </w:r>
    </w:p>
    <w:p w14:paraId="3A7D83F8" w14:textId="38AE77AE" w:rsidR="001B5D31" w:rsidRPr="001B5D31" w:rsidRDefault="001B5D31" w:rsidP="001B5D31">
      <w:pPr>
        <w:pStyle w:val="ListParagraph"/>
        <w:numPr>
          <w:ilvl w:val="0"/>
          <w:numId w:val="2"/>
        </w:numPr>
        <w:spacing w:before="40" w:after="40"/>
      </w:pPr>
      <w:r>
        <w:rPr>
          <w:color w:val="1A1A2E"/>
          <w:sz w:val="18"/>
          <w:szCs w:val="18"/>
        </w:rPr>
        <w:t>Upon migration to Conga infrastructure, the key should be vaulted in Azure Key Vault (or equivalent) and accessed by the Azure Function at runtime — never hardcoded or stored in source control</w:t>
      </w:r>
    </w:p>
    <w:p w14:paraId="3A7D83F9" w14:textId="38AE77AF" w:rsidR="001B5D31" w:rsidRPr="001B5D31" w:rsidRDefault="001B5D31" w:rsidP="001B5D31">
      <w:pPr>
        <w:pStyle w:val="ListParagraph"/>
        <w:numPr>
          <w:ilvl w:val="0"/>
          <w:numId w:val="2"/>
        </w:numPr>
        <w:spacing w:before="40" w:after="40"/>
      </w:pPr>
      <w:r>
        <w:rPr>
          <w:color w:val="1A1A2E"/>
          <w:sz w:val="18"/>
          <w:szCs w:val="18"/>
        </w:rPr>
        <w:t>Consider scoping a separate API key per environment (dev / staging / production) so usage can be tracked and a compromised key can be rotated without affecting other environments</w:t>
      </w:r>
    </w:p>
    <w:p w14:paraId="318B08DE" w14:textId="77777777" w:rsidR="00E60D7C" w:rsidRDefault="00E60D7C">
      <w:pPr>
        <w:spacing w:before="80"/>
      </w:pPr>
    </w:p>
    <w:p w14:paraId="318B08DF" w14:textId="77777777" w:rsidR="00E60D7C" w:rsidRDefault="00000000">
      <w:pPr>
        <w:pStyle w:val="Heading2"/>
      </w:pPr>
      <w:r>
        <w:t>5.3 Token &amp; Rate Limits</w:t>
      </w:r>
    </w:p>
    <w:p w14:paraId="318B08E0" w14:textId="77777777" w:rsidR="00E60D7C" w:rsidRDefault="00000000">
      <w:pPr>
        <w:spacing w:before="60" w:after="60"/>
      </w:pPr>
      <w:r>
        <w:rPr>
          <w:color w:val="1A1A2E"/>
          <w:sz w:val="18"/>
          <w:szCs w:val="18"/>
        </w:rPr>
        <w:t>The multi-pass research tools make 3–5 sequential API calls per user session. At scale (20+ concurrent AEs), rate limiting may become a factor. Mitigation strategies:</w:t>
      </w:r>
    </w:p>
    <w:p w14:paraId="318B08E1" w14:textId="6605ABA7" w:rsidR="00E60D7C" w:rsidRDefault="00000000">
      <w:pPr>
        <w:pStyle w:val="ListParagraph"/>
        <w:numPr>
          <w:ilvl w:val="0"/>
          <w:numId w:val="2"/>
        </w:numPr>
        <w:spacing w:before="40" w:after="40"/>
      </w:pPr>
      <w:r>
        <w:rPr>
          <w:color w:val="1A1A2E"/>
          <w:sz w:val="18"/>
          <w:szCs w:val="18"/>
        </w:rPr>
        <w:t>Use Claude Haiku for cost/speed-sensitive passes; Sonnet for synthesis passes, Opus not necessary.</w:t>
      </w:r>
    </w:p>
    <w:p w14:paraId="318B08E2" w14:textId="77777777" w:rsidR="00E60D7C" w:rsidRDefault="00000000">
      <w:pPr>
        <w:pStyle w:val="ListParagraph"/>
        <w:numPr>
          <w:ilvl w:val="0"/>
          <w:numId w:val="2"/>
        </w:numPr>
        <w:spacing w:before="40" w:after="40"/>
      </w:pPr>
      <w:r>
        <w:rPr>
          <w:color w:val="1A1A2E"/>
          <w:sz w:val="18"/>
          <w:szCs w:val="18"/>
        </w:rPr>
        <w:t>Implement request queuing or per-user rate limiting in the serverless proxy</w:t>
      </w:r>
    </w:p>
    <w:p w14:paraId="318B08E3" w14:textId="77777777" w:rsidR="00E60D7C" w:rsidRDefault="00000000">
      <w:pPr>
        <w:pStyle w:val="ListParagraph"/>
        <w:numPr>
          <w:ilvl w:val="0"/>
          <w:numId w:val="2"/>
        </w:numPr>
        <w:spacing w:before="40" w:after="40"/>
      </w:pPr>
      <w:r>
        <w:rPr>
          <w:color w:val="1A1A2E"/>
          <w:sz w:val="18"/>
          <w:szCs w:val="18"/>
        </w:rPr>
        <w:t>Monitor token usage per tool and establish cost allocation to the appropriate cost center</w:t>
      </w:r>
    </w:p>
    <w:p w14:paraId="318B08E4" w14:textId="77777777" w:rsidR="00E60D7C" w:rsidRDefault="00E60D7C">
      <w:pPr>
        <w:spacing w:before="80"/>
      </w:pPr>
    </w:p>
    <w:p w14:paraId="318B08E5" w14:textId="77777777" w:rsidR="00E60D7C" w:rsidRDefault="00000000">
      <w:pPr>
        <w:pStyle w:val="Heading2"/>
      </w:pPr>
      <w:r>
        <w:t>5.4 Data &amp; Compliance</w:t>
      </w:r>
    </w:p>
    <w:p w14:paraId="318B08E6" w14:textId="77777777" w:rsidR="00E60D7C" w:rsidRDefault="00000000">
      <w:pPr>
        <w:pStyle w:val="ListParagraph"/>
        <w:numPr>
          <w:ilvl w:val="0"/>
          <w:numId w:val="2"/>
        </w:numPr>
        <w:spacing w:before="40" w:after="40"/>
      </w:pPr>
      <w:r>
        <w:rPr>
          <w:color w:val="1A1A2E"/>
          <w:sz w:val="18"/>
          <w:szCs w:val="18"/>
        </w:rPr>
        <w:t>Tools accept prospect/account data as input (company names, deal details, transcript text)</w:t>
      </w:r>
    </w:p>
    <w:p w14:paraId="318B08E7" w14:textId="77777777" w:rsidR="00E60D7C" w:rsidRDefault="00000000">
      <w:pPr>
        <w:pStyle w:val="ListParagraph"/>
        <w:numPr>
          <w:ilvl w:val="0"/>
          <w:numId w:val="2"/>
        </w:numPr>
        <w:spacing w:before="40" w:after="40"/>
      </w:pPr>
      <w:r>
        <w:rPr>
          <w:color w:val="1A1A2E"/>
          <w:sz w:val="18"/>
          <w:szCs w:val="18"/>
        </w:rPr>
        <w:t>This data is sent to Anthropic's API — confirm this is permitted under Conga's data agreements</w:t>
      </w:r>
    </w:p>
    <w:p w14:paraId="318B08E8" w14:textId="77777777" w:rsidR="00E60D7C" w:rsidRDefault="00000000">
      <w:pPr>
        <w:pStyle w:val="ListParagraph"/>
        <w:numPr>
          <w:ilvl w:val="0"/>
          <w:numId w:val="2"/>
        </w:numPr>
        <w:spacing w:before="40" w:after="40"/>
      </w:pPr>
      <w:r>
        <w:rPr>
          <w:color w:val="1A1A2E"/>
          <w:sz w:val="18"/>
          <w:szCs w:val="18"/>
        </w:rPr>
        <w:t>No PII or customer contract data is currently processed — scope is sales research only</w:t>
      </w:r>
    </w:p>
    <w:p w14:paraId="318B08E9" w14:textId="77777777" w:rsidR="00E60D7C" w:rsidRPr="001B5D31" w:rsidRDefault="00000000">
      <w:pPr>
        <w:pStyle w:val="ListParagraph"/>
        <w:numPr>
          <w:ilvl w:val="0"/>
          <w:numId w:val="2"/>
        </w:numPr>
        <w:spacing w:before="40" w:after="40"/>
      </w:pPr>
      <w:r>
        <w:rPr>
          <w:color w:val="1A1A2E"/>
          <w:sz w:val="18"/>
          <w:szCs w:val="18"/>
        </w:rPr>
        <w:t>Confirm whether tool outputs (briefs, value maps) need to be logged or auditable</w:t>
      </w:r>
    </w:p>
    <w:p w14:paraId="7A8C3994" w14:textId="4CEC24FA" w:rsidR="001B5D31" w:rsidRDefault="001B5D31">
      <w:pPr>
        <w:pStyle w:val="ListParagraph"/>
        <w:numPr>
          <w:ilvl w:val="0"/>
          <w:numId w:val="2"/>
        </w:numPr>
        <w:spacing w:before="40" w:after="40"/>
      </w:pPr>
      <w:r>
        <w:rPr>
          <w:color w:val="1A1A2E"/>
          <w:sz w:val="18"/>
          <w:szCs w:val="18"/>
        </w:rPr>
        <w:t>Restrict role access (Sales/Pre-Sales) to view and edit their own deal domain.</w:t>
      </w:r>
    </w:p>
    <w:p w14:paraId="318B08EA" w14:textId="77777777" w:rsidR="00E60D7C" w:rsidRDefault="00E60D7C">
      <w:pPr>
        <w:spacing w:before="140"/>
      </w:pPr>
    </w:p>
    <w:p w14:paraId="318B08EB" w14:textId="77777777" w:rsidR="00E60D7C" w:rsidRDefault="00000000">
      <w:pPr>
        <w:pStyle w:val="Heading1"/>
        <w:pBdr>
          <w:bottom w:val="single" w:sz="6" w:space="4" w:color="7C5CFC"/>
        </w:pBdr>
      </w:pPr>
      <w:r>
        <w:lastRenderedPageBreak/>
        <w:t>6. Proposed Migration Phases</w:t>
      </w:r>
    </w:p>
    <w:p w14:paraId="318B08EC" w14:textId="77777777" w:rsidR="00E60D7C" w:rsidRDefault="00E60D7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3660"/>
        <w:gridCol w:w="2800"/>
      </w:tblGrid>
      <w:tr w:rsidR="00E60D7C" w14:paraId="318B08F1" w14:textId="77777777">
        <w:tc>
          <w:tcPr>
            <w:tcW w:w="900" w:type="dxa"/>
            <w:tcBorders>
              <w:top w:val="single" w:sz="1" w:space="0" w:color="7C5CFC"/>
              <w:left w:val="single" w:sz="1" w:space="0" w:color="7C5CFC"/>
              <w:bottom w:val="single" w:sz="1" w:space="0" w:color="7C5CFC"/>
              <w:right w:val="single" w:sz="1" w:space="0" w:color="7C5CFC"/>
            </w:tcBorders>
            <w:shd w:val="clear" w:color="auto" w:fill="7C5CFC"/>
            <w:tcMar>
              <w:top w:w="100" w:type="dxa"/>
              <w:left w:w="140" w:type="dxa"/>
              <w:bottom w:w="100" w:type="dxa"/>
              <w:right w:w="140" w:type="dxa"/>
            </w:tcMar>
            <w:vAlign w:val="center"/>
          </w:tcPr>
          <w:p w14:paraId="318B08ED" w14:textId="77777777" w:rsidR="00E60D7C" w:rsidRDefault="00000000">
            <w:r>
              <w:rPr>
                <w:b/>
                <w:bCs/>
                <w:color w:val="FFFFFF"/>
                <w:sz w:val="18"/>
                <w:szCs w:val="18"/>
              </w:rPr>
              <w:t>Phase</w:t>
            </w:r>
          </w:p>
        </w:tc>
        <w:tc>
          <w:tcPr>
            <w:tcW w:w="2000" w:type="dxa"/>
            <w:tcBorders>
              <w:top w:val="single" w:sz="1" w:space="0" w:color="7C5CFC"/>
              <w:left w:val="single" w:sz="1" w:space="0" w:color="7C5CFC"/>
              <w:bottom w:val="single" w:sz="1" w:space="0" w:color="7C5CFC"/>
              <w:right w:val="single" w:sz="1" w:space="0" w:color="7C5CFC"/>
            </w:tcBorders>
            <w:shd w:val="clear" w:color="auto" w:fill="7C5CFC"/>
            <w:tcMar>
              <w:top w:w="100" w:type="dxa"/>
              <w:left w:w="140" w:type="dxa"/>
              <w:bottom w:w="100" w:type="dxa"/>
              <w:right w:w="140" w:type="dxa"/>
            </w:tcMar>
            <w:vAlign w:val="center"/>
          </w:tcPr>
          <w:p w14:paraId="318B08EE" w14:textId="77777777" w:rsidR="00E60D7C" w:rsidRDefault="00000000">
            <w:r>
              <w:rPr>
                <w:b/>
                <w:bCs/>
                <w:color w:val="FFFFFF"/>
                <w:sz w:val="18"/>
                <w:szCs w:val="18"/>
              </w:rPr>
              <w:t>Name</w:t>
            </w:r>
          </w:p>
        </w:tc>
        <w:tc>
          <w:tcPr>
            <w:tcW w:w="3660" w:type="dxa"/>
            <w:tcBorders>
              <w:top w:val="single" w:sz="1" w:space="0" w:color="7C5CFC"/>
              <w:left w:val="single" w:sz="1" w:space="0" w:color="7C5CFC"/>
              <w:bottom w:val="single" w:sz="1" w:space="0" w:color="7C5CFC"/>
              <w:right w:val="single" w:sz="1" w:space="0" w:color="7C5CFC"/>
            </w:tcBorders>
            <w:shd w:val="clear" w:color="auto" w:fill="7C5CFC"/>
            <w:tcMar>
              <w:top w:w="100" w:type="dxa"/>
              <w:left w:w="140" w:type="dxa"/>
              <w:bottom w:w="100" w:type="dxa"/>
              <w:right w:w="140" w:type="dxa"/>
            </w:tcMar>
            <w:vAlign w:val="center"/>
          </w:tcPr>
          <w:p w14:paraId="318B08EF" w14:textId="77777777" w:rsidR="00E60D7C" w:rsidRDefault="00000000">
            <w:r>
              <w:rPr>
                <w:b/>
                <w:bCs/>
                <w:color w:val="FFFFFF"/>
                <w:sz w:val="18"/>
                <w:szCs w:val="18"/>
              </w:rPr>
              <w:t>Scope</w:t>
            </w:r>
          </w:p>
        </w:tc>
        <w:tc>
          <w:tcPr>
            <w:tcW w:w="2800" w:type="dxa"/>
            <w:tcBorders>
              <w:top w:val="single" w:sz="1" w:space="0" w:color="7C5CFC"/>
              <w:left w:val="single" w:sz="1" w:space="0" w:color="7C5CFC"/>
              <w:bottom w:val="single" w:sz="1" w:space="0" w:color="7C5CFC"/>
              <w:right w:val="single" w:sz="1" w:space="0" w:color="7C5CFC"/>
            </w:tcBorders>
            <w:shd w:val="clear" w:color="auto" w:fill="7C5CFC"/>
            <w:tcMar>
              <w:top w:w="100" w:type="dxa"/>
              <w:left w:w="140" w:type="dxa"/>
              <w:bottom w:w="100" w:type="dxa"/>
              <w:right w:w="140" w:type="dxa"/>
            </w:tcMar>
            <w:vAlign w:val="center"/>
          </w:tcPr>
          <w:p w14:paraId="318B08F0" w14:textId="4BB78989" w:rsidR="00E60D7C" w:rsidRDefault="00000000">
            <w:r>
              <w:rPr>
                <w:b/>
                <w:bCs/>
                <w:color w:val="FFFFFF"/>
                <w:sz w:val="18"/>
                <w:szCs w:val="18"/>
              </w:rPr>
              <w:t>Owner</w:t>
            </w:r>
          </w:p>
        </w:tc>
      </w:tr>
      <w:tr w:rsidR="00E60D7C" w14:paraId="318B08F6" w14:textId="77777777">
        <w:tc>
          <w:tcPr>
            <w:tcW w:w="900" w:type="dxa"/>
            <w:tcBorders>
              <w:top w:val="single" w:sz="1" w:space="0" w:color="C4B5FD"/>
              <w:left w:val="single" w:sz="1" w:space="0" w:color="C4B5FD"/>
              <w:bottom w:val="single" w:sz="1" w:space="0" w:color="C4B5FD"/>
              <w:right w:val="single" w:sz="1" w:space="0" w:color="C4B5FD"/>
            </w:tcBorders>
            <w:shd w:val="clear" w:color="auto" w:fill="EDE9FF"/>
            <w:tcMar>
              <w:top w:w="80" w:type="dxa"/>
              <w:left w:w="140" w:type="dxa"/>
              <w:bottom w:w="80" w:type="dxa"/>
              <w:right w:w="140" w:type="dxa"/>
            </w:tcMar>
          </w:tcPr>
          <w:p w14:paraId="318B08F2" w14:textId="77777777" w:rsidR="00E60D7C" w:rsidRDefault="00000000">
            <w:r>
              <w:rPr>
                <w:color w:val="1A1A2E"/>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B08F3" w14:textId="77777777" w:rsidR="00E60D7C" w:rsidRDefault="00000000">
            <w:r>
              <w:rPr>
                <w:color w:val="1A1A2E"/>
                <w:sz w:val="18"/>
                <w:szCs w:val="18"/>
              </w:rPr>
              <w:t>Hosting Migration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B08F4" w14:textId="13D42A6E" w:rsidR="00E60D7C" w:rsidRDefault="00000000">
            <w:r>
              <w:rPr>
                <w:color w:val="1A1A2E"/>
                <w:sz w:val="18"/>
                <w:szCs w:val="18"/>
              </w:rPr>
              <w:t>Move all built tools from Vercel to Conga Azure hosting. No code changes — just re-deploy. Confirm CSP compatibility.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B08F5" w14:textId="1409CA6F" w:rsidR="00E60D7C" w:rsidRDefault="00000000">
            <w:r>
              <w:rPr>
                <w:color w:val="1A1A2E"/>
                <w:sz w:val="18"/>
                <w:szCs w:val="18"/>
              </w:rPr>
              <w:t>IT + Reeves/George</w:t>
            </w:r>
          </w:p>
        </w:tc>
      </w:tr>
      <w:tr w:rsidR="00E60D7C" w14:paraId="318B08FB" w14:textId="77777777">
        <w:tc>
          <w:tcPr>
            <w:tcW w:w="900" w:type="dxa"/>
            <w:tcBorders>
              <w:top w:val="single" w:sz="1" w:space="0" w:color="C4B5FD"/>
              <w:left w:val="single" w:sz="1" w:space="0" w:color="C4B5FD"/>
              <w:bottom w:val="single" w:sz="1" w:space="0" w:color="C4B5FD"/>
              <w:right w:val="single" w:sz="1" w:space="0" w:color="C4B5FD"/>
            </w:tcBorders>
            <w:shd w:val="clear" w:color="auto" w:fill="EDE9FF"/>
            <w:tcMar>
              <w:top w:w="80" w:type="dxa"/>
              <w:left w:w="140" w:type="dxa"/>
              <w:bottom w:w="80" w:type="dxa"/>
              <w:right w:w="140" w:type="dxa"/>
            </w:tcMar>
          </w:tcPr>
          <w:p w14:paraId="318B08F7" w14:textId="77777777" w:rsidR="00E60D7C" w:rsidRDefault="00000000">
            <w:r>
              <w:rPr>
                <w:color w:val="1A1A2E"/>
                <w:sz w:val="18"/>
                <w:szCs w:val="18"/>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8B08F8" w14:textId="77777777" w:rsidR="00E60D7C" w:rsidRDefault="00000000">
            <w:r>
              <w:rPr>
                <w:color w:val="1A1A2E"/>
                <w:sz w:val="18"/>
                <w:szCs w:val="18"/>
              </w:rPr>
              <w:t>API Key Security</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8B08F9" w14:textId="77777777" w:rsidR="00E60D7C" w:rsidRDefault="00000000">
            <w:r>
              <w:rPr>
                <w:color w:val="1A1A2E"/>
                <w:sz w:val="18"/>
                <w:szCs w:val="18"/>
              </w:rPr>
              <w:t>If required: build serverless proxy (Azure Functions) to move API key server-side. Update all tool fetch() calls to point to proxy.</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8B08FA" w14:textId="7D5F6CD4" w:rsidR="00E60D7C" w:rsidRDefault="00000000">
            <w:r>
              <w:rPr>
                <w:color w:val="1A1A2E"/>
                <w:sz w:val="18"/>
                <w:szCs w:val="18"/>
              </w:rPr>
              <w:t>Engineering</w:t>
            </w:r>
          </w:p>
        </w:tc>
      </w:tr>
      <w:tr w:rsidR="00E60D7C" w14:paraId="318B0900" w14:textId="77777777">
        <w:tc>
          <w:tcPr>
            <w:tcW w:w="900" w:type="dxa"/>
            <w:tcBorders>
              <w:top w:val="single" w:sz="1" w:space="0" w:color="C4B5FD"/>
              <w:left w:val="single" w:sz="1" w:space="0" w:color="C4B5FD"/>
              <w:bottom w:val="single" w:sz="1" w:space="0" w:color="C4B5FD"/>
              <w:right w:val="single" w:sz="1" w:space="0" w:color="C4B5FD"/>
            </w:tcBorders>
            <w:shd w:val="clear" w:color="auto" w:fill="EDE9FF"/>
            <w:tcMar>
              <w:top w:w="80" w:type="dxa"/>
              <w:left w:w="140" w:type="dxa"/>
              <w:bottom w:w="80" w:type="dxa"/>
              <w:right w:w="140" w:type="dxa"/>
            </w:tcMar>
          </w:tcPr>
          <w:p w14:paraId="318B08FC" w14:textId="77777777" w:rsidR="00E60D7C" w:rsidRDefault="00000000">
            <w:r>
              <w:rPr>
                <w:color w:val="1A1A2E"/>
                <w:sz w:val="18"/>
                <w:szCs w:val="18"/>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B08FD" w14:textId="77777777" w:rsidR="00E60D7C" w:rsidRDefault="00000000">
            <w:r>
              <w:rPr>
                <w:color w:val="1A1A2E"/>
                <w:sz w:val="18"/>
                <w:szCs w:val="18"/>
              </w:rPr>
              <w:t>Auth (SSO)</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B08FE" w14:textId="77777777" w:rsidR="00E60D7C" w:rsidRDefault="00000000">
            <w:r>
              <w:rPr>
                <w:color w:val="1A1A2E"/>
                <w:sz w:val="18"/>
                <w:szCs w:val="18"/>
              </w:rPr>
              <w:t>Implement Azure AD / Entra ID SSO on the tool hub. Restrict access to Conga employees only.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B08FF" w14:textId="0BB31184" w:rsidR="00E60D7C" w:rsidRDefault="00000000">
            <w:r>
              <w:rPr>
                <w:color w:val="1A1A2E"/>
                <w:sz w:val="18"/>
                <w:szCs w:val="18"/>
              </w:rPr>
              <w:t>IT + Engineering for initial setup, Reeves/George to maintain</w:t>
            </w:r>
          </w:p>
        </w:tc>
      </w:tr>
      <w:tr w:rsidR="00E60D7C" w14:paraId="318B0905" w14:textId="77777777">
        <w:tc>
          <w:tcPr>
            <w:tcW w:w="900" w:type="dxa"/>
            <w:tcBorders>
              <w:top w:val="single" w:sz="1" w:space="0" w:color="C4B5FD"/>
              <w:left w:val="single" w:sz="1" w:space="0" w:color="C4B5FD"/>
              <w:bottom w:val="single" w:sz="1" w:space="0" w:color="C4B5FD"/>
              <w:right w:val="single" w:sz="1" w:space="0" w:color="C4B5FD"/>
            </w:tcBorders>
            <w:shd w:val="clear" w:color="auto" w:fill="EDE9FF"/>
            <w:tcMar>
              <w:top w:w="80" w:type="dxa"/>
              <w:left w:w="140" w:type="dxa"/>
              <w:bottom w:w="80" w:type="dxa"/>
              <w:right w:w="140" w:type="dxa"/>
            </w:tcMar>
          </w:tcPr>
          <w:p w14:paraId="318B0901" w14:textId="77777777" w:rsidR="00E60D7C" w:rsidRDefault="00000000">
            <w:r>
              <w:rPr>
                <w:color w:val="1A1A2E"/>
                <w:sz w:val="18"/>
                <w:szCs w:val="18"/>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8B0902" w14:textId="77777777" w:rsidR="00E60D7C" w:rsidRDefault="00000000">
            <w:r>
              <w:rPr>
                <w:color w:val="1A1A2E"/>
                <w:sz w:val="18"/>
                <w:szCs w:val="18"/>
              </w:rPr>
              <w:t>Shared Backend</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8B0903" w14:textId="77777777" w:rsidR="00E60D7C" w:rsidRDefault="00000000">
            <w:r>
              <w:rPr>
                <w:color w:val="1A1A2E"/>
                <w:sz w:val="18"/>
                <w:szCs w:val="18"/>
              </w:rPr>
              <w:t>Stand up Cosmos DB (or MongoDB Atlas). Migrate localStorage to API-backed persistent storage. Enable cross-device continuity.</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8B0904" w14:textId="356A7393" w:rsidR="00E60D7C" w:rsidRDefault="00000000">
            <w:r>
              <w:rPr>
                <w:color w:val="1A1A2E"/>
                <w:sz w:val="18"/>
                <w:szCs w:val="18"/>
              </w:rPr>
              <w:t>Engineering for initial setup, Reeves/George to maintain</w:t>
            </w:r>
          </w:p>
        </w:tc>
      </w:tr>
      <w:tr w:rsidR="00E60D7C" w14:paraId="318B090A" w14:textId="77777777">
        <w:tc>
          <w:tcPr>
            <w:tcW w:w="900" w:type="dxa"/>
            <w:tcBorders>
              <w:top w:val="single" w:sz="1" w:space="0" w:color="C4B5FD"/>
              <w:left w:val="single" w:sz="1" w:space="0" w:color="C4B5FD"/>
              <w:bottom w:val="single" w:sz="1" w:space="0" w:color="C4B5FD"/>
              <w:right w:val="single" w:sz="1" w:space="0" w:color="C4B5FD"/>
            </w:tcBorders>
            <w:shd w:val="clear" w:color="auto" w:fill="EDE9FF"/>
            <w:tcMar>
              <w:top w:w="80" w:type="dxa"/>
              <w:left w:w="140" w:type="dxa"/>
              <w:bottom w:w="80" w:type="dxa"/>
              <w:right w:w="140" w:type="dxa"/>
            </w:tcMar>
          </w:tcPr>
          <w:p w14:paraId="318B0906" w14:textId="77777777" w:rsidR="00E60D7C" w:rsidRDefault="00000000">
            <w:r>
              <w:rPr>
                <w:color w:val="1A1A2E"/>
                <w:sz w:val="18"/>
                <w:szCs w:val="18"/>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B0907" w14:textId="77777777" w:rsidR="00E60D7C" w:rsidRDefault="00000000">
            <w:r>
              <w:rPr>
                <w:color w:val="1A1A2E"/>
                <w:sz w:val="18"/>
                <w:szCs w:val="18"/>
              </w:rPr>
              <w:t>Observability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B0908" w14:textId="77777777" w:rsidR="00E60D7C" w:rsidRDefault="00000000">
            <w:r>
              <w:rPr>
                <w:color w:val="1A1A2E"/>
                <w:sz w:val="18"/>
                <w:szCs w:val="18"/>
              </w:rPr>
              <w:t>Add usage logging, error tracking, and cost monitoring per tool. Assign API usage to internal cost center.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B0909" w14:textId="76E2B85E" w:rsidR="00E60D7C" w:rsidRDefault="00000000">
            <w:r>
              <w:rPr>
                <w:color w:val="1A1A2E"/>
                <w:sz w:val="18"/>
                <w:szCs w:val="18"/>
              </w:rPr>
              <w:t>Engineering for initial setup, Reeves/George to maintain</w:t>
            </w:r>
          </w:p>
        </w:tc>
      </w:tr>
    </w:tbl>
    <w:p w14:paraId="318B090B" w14:textId="77777777" w:rsidR="00E60D7C" w:rsidRDefault="00E60D7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1"/>
        <w:gridCol w:w="7569"/>
      </w:tblGrid>
      <w:tr w:rsidR="00E60D7C" w14:paraId="318B090E" w14:textId="77777777">
        <w:tc>
          <w:tcPr>
            <w:tcW w:w="1200" w:type="dxa"/>
            <w:tcBorders>
              <w:top w:val="single" w:sz="1" w:space="0" w:color="7C5CFC"/>
              <w:left w:val="single" w:sz="1" w:space="0" w:color="7C5CFC"/>
              <w:bottom w:val="single" w:sz="1" w:space="0" w:color="7C5CFC"/>
              <w:right w:val="single" w:sz="1" w:space="0" w:color="7C5CFC"/>
            </w:tcBorders>
            <w:shd w:val="clear" w:color="auto" w:fill="7C5CFC"/>
            <w:tcMar>
              <w:top w:w="100" w:type="dxa"/>
              <w:left w:w="140" w:type="dxa"/>
              <w:bottom w:w="100" w:type="dxa"/>
              <w:right w:w="140" w:type="dxa"/>
            </w:tcMar>
            <w:vAlign w:val="center"/>
          </w:tcPr>
          <w:p w14:paraId="318B090C" w14:textId="77777777" w:rsidR="00E60D7C" w:rsidRDefault="00000000">
            <w:pPr>
              <w:jc w:val="center"/>
            </w:pPr>
            <w:r>
              <w:rPr>
                <w:b/>
                <w:bCs/>
                <w:color w:val="FFFFFF"/>
                <w:sz w:val="18"/>
                <w:szCs w:val="18"/>
              </w:rPr>
              <w:t>✅ Recommendation</w:t>
            </w:r>
          </w:p>
        </w:tc>
        <w:tc>
          <w:tcPr>
            <w:tcW w:w="8160" w:type="dxa"/>
            <w:tcBorders>
              <w:top w:val="single" w:sz="1" w:space="0" w:color="7C5CFC"/>
              <w:left w:val="single" w:sz="1" w:space="0" w:color="7C5CFC"/>
              <w:bottom w:val="single" w:sz="1" w:space="0" w:color="7C5CFC"/>
              <w:right w:val="single" w:sz="1" w:space="0" w:color="7C5CFC"/>
            </w:tcBorders>
            <w:shd w:val="clear" w:color="auto" w:fill="EDE9FF"/>
            <w:tcMar>
              <w:top w:w="100" w:type="dxa"/>
              <w:left w:w="140" w:type="dxa"/>
              <w:bottom w:w="100" w:type="dxa"/>
              <w:right w:w="140" w:type="dxa"/>
            </w:tcMar>
          </w:tcPr>
          <w:p w14:paraId="318B090D" w14:textId="756FE81A" w:rsidR="00E60D7C" w:rsidRDefault="00000000">
            <w:r>
              <w:rPr>
                <w:color w:val="1A1A2E"/>
                <w:sz w:val="18"/>
                <w:szCs w:val="18"/>
              </w:rPr>
              <w:t>Phase 1 (hosting) can move immediately with minimal IT involvement. Phases 2–5 require engineering bandwidth for initial setup. Prioritize Phase 1 + 3 (hosting + auth) as the MVP to get off Vercel, then tackle backend in parallel with new tool development.</w:t>
            </w:r>
          </w:p>
        </w:tc>
      </w:tr>
    </w:tbl>
    <w:p w14:paraId="318B090F" w14:textId="77777777" w:rsidR="00E60D7C" w:rsidRDefault="00E60D7C">
      <w:pPr>
        <w:spacing w:before="140"/>
      </w:pPr>
    </w:p>
    <w:p w14:paraId="318B0910" w14:textId="77777777" w:rsidR="00E60D7C" w:rsidRDefault="00000000">
      <w:pPr>
        <w:pStyle w:val="Heading1"/>
        <w:pBdr>
          <w:bottom w:val="single" w:sz="6" w:space="4" w:color="7C5CFC"/>
        </w:pBdr>
      </w:pPr>
      <w:r>
        <w:t>7. IT Discovery Meeting — Agenda &amp; Open Questions</w:t>
      </w:r>
    </w:p>
    <w:p w14:paraId="318B0911" w14:textId="77777777" w:rsidR="00E60D7C" w:rsidRDefault="00000000">
      <w:pPr>
        <w:spacing w:before="60" w:after="60"/>
      </w:pPr>
      <w:r>
        <w:rPr>
          <w:color w:val="1A1A2E"/>
          <w:sz w:val="18"/>
          <w:szCs w:val="18"/>
        </w:rPr>
        <w:t>The following questions must be resolved before migration can begin. Recommended sequence for the IT discovery meeting:</w:t>
      </w:r>
    </w:p>
    <w:p w14:paraId="318B091E" w14:textId="77777777" w:rsidR="00E60D7C" w:rsidRDefault="00E60D7C">
      <w:pPr>
        <w:spacing w:before="80"/>
      </w:pPr>
    </w:p>
    <w:p w14:paraId="318B091F" w14:textId="77777777" w:rsidR="00E60D7C" w:rsidRDefault="00000000">
      <w:pPr>
        <w:pStyle w:val="Heading2"/>
      </w:pPr>
      <w:r>
        <w:t>7.3 Security &amp; Compliance</w:t>
      </w:r>
    </w:p>
    <w:p w14:paraId="318B0920" w14:textId="77777777" w:rsidR="00E60D7C" w:rsidRDefault="00000000">
      <w:pPr>
        <w:pStyle w:val="ListParagraph"/>
        <w:numPr>
          <w:ilvl w:val="0"/>
          <w:numId w:val="2"/>
        </w:numPr>
        <w:spacing w:before="40" w:after="40"/>
      </w:pPr>
      <w:r>
        <w:rPr>
          <w:color w:val="1A1A2E"/>
          <w:sz w:val="18"/>
          <w:szCs w:val="18"/>
        </w:rPr>
        <w:t>Must the API key be stored server-side, or is client-side acceptable for an internal tool?</w:t>
      </w:r>
    </w:p>
    <w:p w14:paraId="318B0921" w14:textId="77777777" w:rsidR="00E60D7C" w:rsidRDefault="00000000">
      <w:pPr>
        <w:pStyle w:val="ListParagraph"/>
        <w:numPr>
          <w:ilvl w:val="0"/>
          <w:numId w:val="2"/>
        </w:numPr>
        <w:spacing w:before="40" w:after="40"/>
      </w:pPr>
      <w:r>
        <w:rPr>
          <w:color w:val="1A1A2E"/>
          <w:sz w:val="18"/>
          <w:szCs w:val="18"/>
        </w:rPr>
        <w:t>Does this require an AppSec review? If so, what artifacts are needed and what is the timeline?</w:t>
      </w:r>
    </w:p>
    <w:p w14:paraId="318B0922" w14:textId="77777777" w:rsidR="00E60D7C" w:rsidRDefault="00000000">
      <w:pPr>
        <w:pStyle w:val="ListParagraph"/>
        <w:numPr>
          <w:ilvl w:val="0"/>
          <w:numId w:val="2"/>
        </w:numPr>
        <w:spacing w:before="40" w:after="40"/>
      </w:pPr>
      <w:r>
        <w:rPr>
          <w:color w:val="1A1A2E"/>
          <w:sz w:val="18"/>
          <w:szCs w:val="18"/>
        </w:rPr>
        <w:t>Is prospect/account data (non-PII) permitted to be sent to the Anthropic API under current data agreements?</w:t>
      </w:r>
    </w:p>
    <w:p w14:paraId="318B0923" w14:textId="77777777" w:rsidR="00E60D7C" w:rsidRDefault="00000000">
      <w:pPr>
        <w:pStyle w:val="ListParagraph"/>
        <w:numPr>
          <w:ilvl w:val="0"/>
          <w:numId w:val="2"/>
        </w:numPr>
        <w:spacing w:before="40" w:after="40"/>
      </w:pPr>
      <w:r>
        <w:rPr>
          <w:color w:val="1A1A2E"/>
          <w:sz w:val="18"/>
          <w:szCs w:val="18"/>
        </w:rPr>
        <w:t>Are there DLP policies that affect what data users can paste into the tools?</w:t>
      </w:r>
    </w:p>
    <w:p w14:paraId="318B0924" w14:textId="77777777" w:rsidR="00E60D7C" w:rsidRDefault="00E60D7C">
      <w:pPr>
        <w:spacing w:before="80"/>
      </w:pPr>
    </w:p>
    <w:p w14:paraId="318B0925" w14:textId="77777777" w:rsidR="00E60D7C" w:rsidRDefault="00000000">
      <w:pPr>
        <w:pStyle w:val="Heading2"/>
      </w:pPr>
      <w:r>
        <w:t>7.4 Auth &amp; Access Control</w:t>
      </w:r>
    </w:p>
    <w:p w14:paraId="318B0926" w14:textId="77777777" w:rsidR="00E60D7C" w:rsidRDefault="00000000">
      <w:pPr>
        <w:pStyle w:val="ListParagraph"/>
        <w:numPr>
          <w:ilvl w:val="0"/>
          <w:numId w:val="2"/>
        </w:numPr>
        <w:spacing w:before="40" w:after="40"/>
      </w:pPr>
      <w:r>
        <w:rPr>
          <w:color w:val="1A1A2E"/>
          <w:sz w:val="18"/>
          <w:szCs w:val="18"/>
        </w:rPr>
        <w:t>Is Azure AD / Entra ID SSO required, or is IP-restricted access acceptable for MVP?</w:t>
      </w:r>
    </w:p>
    <w:p w14:paraId="318B0927" w14:textId="77777777" w:rsidR="00E60D7C" w:rsidRDefault="00000000">
      <w:pPr>
        <w:pStyle w:val="ListParagraph"/>
        <w:numPr>
          <w:ilvl w:val="0"/>
          <w:numId w:val="2"/>
        </w:numPr>
        <w:spacing w:before="40" w:after="40"/>
      </w:pPr>
      <w:r>
        <w:rPr>
          <w:color w:val="1A1A2E"/>
          <w:sz w:val="18"/>
          <w:szCs w:val="18"/>
        </w:rPr>
        <w:t>Is role-based access required at launch (AE vs. SE vs. manager), or can it be added post-MVP?</w:t>
      </w:r>
    </w:p>
    <w:p w14:paraId="318B0928" w14:textId="77777777" w:rsidR="00E60D7C" w:rsidRDefault="00000000">
      <w:pPr>
        <w:pStyle w:val="ListParagraph"/>
        <w:numPr>
          <w:ilvl w:val="0"/>
          <w:numId w:val="2"/>
        </w:numPr>
        <w:spacing w:before="40" w:after="40"/>
      </w:pPr>
      <w:r>
        <w:rPr>
          <w:color w:val="1A1A2E"/>
          <w:sz w:val="18"/>
          <w:szCs w:val="18"/>
        </w:rPr>
        <w:t>Who is the IT owner/sponsor for this initiative and what is their available bandwidth?</w:t>
      </w:r>
    </w:p>
    <w:p w14:paraId="318B0929" w14:textId="77777777" w:rsidR="00E60D7C" w:rsidRDefault="00E60D7C">
      <w:pPr>
        <w:spacing w:before="80"/>
      </w:pPr>
    </w:p>
    <w:p w14:paraId="318B092A" w14:textId="77777777" w:rsidR="00E60D7C" w:rsidRDefault="00000000">
      <w:pPr>
        <w:pStyle w:val="Heading2"/>
      </w:pPr>
      <w:r>
        <w:t>7.5 Ownership &amp; Ops</w:t>
      </w:r>
    </w:p>
    <w:p w14:paraId="318B092B" w14:textId="642C170E" w:rsidR="00E60D7C" w:rsidRDefault="004F57E1">
      <w:pPr>
        <w:pStyle w:val="ListParagraph"/>
        <w:numPr>
          <w:ilvl w:val="0"/>
          <w:numId w:val="2"/>
        </w:numPr>
        <w:spacing w:before="40" w:after="40"/>
      </w:pPr>
      <w:r>
        <w:rPr>
          <w:color w:val="1A1A2E"/>
          <w:sz w:val="18"/>
          <w:szCs w:val="18"/>
        </w:rPr>
        <w:t>Confirm with Security - is this an IT-managed project or an AE-owned tool that IT is hosting?</w:t>
      </w:r>
    </w:p>
    <w:p w14:paraId="318B092C" w14:textId="77777777" w:rsidR="00E60D7C" w:rsidRDefault="00000000">
      <w:pPr>
        <w:pStyle w:val="ListParagraph"/>
        <w:numPr>
          <w:ilvl w:val="0"/>
          <w:numId w:val="2"/>
        </w:numPr>
        <w:spacing w:before="40" w:after="40"/>
      </w:pPr>
      <w:r>
        <w:rPr>
          <w:color w:val="1A1A2E"/>
          <w:sz w:val="18"/>
          <w:szCs w:val="18"/>
        </w:rPr>
        <w:t>What does the change management / update process look like after launch?</w:t>
      </w:r>
    </w:p>
    <w:p w14:paraId="318B092D" w14:textId="77777777" w:rsidR="00E60D7C" w:rsidRDefault="00000000">
      <w:pPr>
        <w:pStyle w:val="ListParagraph"/>
        <w:numPr>
          <w:ilvl w:val="0"/>
          <w:numId w:val="2"/>
        </w:numPr>
        <w:spacing w:before="40" w:after="40"/>
      </w:pPr>
      <w:r>
        <w:rPr>
          <w:color w:val="1A1A2E"/>
          <w:sz w:val="18"/>
          <w:szCs w:val="18"/>
        </w:rPr>
        <w:t>Can the tool owner push updates directly, or does every change require a ticket/deployment approval?</w:t>
      </w:r>
    </w:p>
    <w:p w14:paraId="318B092E" w14:textId="77777777" w:rsidR="00E60D7C" w:rsidRDefault="00E60D7C">
      <w:pPr>
        <w:spacing w:before="140"/>
      </w:pPr>
    </w:p>
    <w:p w14:paraId="318B092F" w14:textId="77777777" w:rsidR="00E60D7C" w:rsidRDefault="00000000">
      <w:pPr>
        <w:pStyle w:val="Heading1"/>
        <w:pBdr>
          <w:bottom w:val="single" w:sz="6" w:space="4" w:color="7C5CFC"/>
        </w:pBdr>
      </w:pPr>
      <w:r>
        <w:lastRenderedPageBreak/>
        <w:t>8. Artifacts Provided with This Brief</w:t>
      </w:r>
    </w:p>
    <w:p w14:paraId="318B0930" w14:textId="77777777" w:rsidR="00E60D7C" w:rsidRDefault="00000000">
      <w:pPr>
        <w:pStyle w:val="ListParagraph"/>
        <w:numPr>
          <w:ilvl w:val="0"/>
          <w:numId w:val="2"/>
        </w:numPr>
        <w:spacing w:before="40" w:after="40"/>
      </w:pPr>
      <w:r>
        <w:rPr>
          <w:color w:val="1A1A2E"/>
          <w:sz w:val="18"/>
          <w:szCs w:val="18"/>
        </w:rPr>
        <w:t>This Engineering &amp; Infrastructure Brief (this document)</w:t>
      </w:r>
    </w:p>
    <w:p w14:paraId="318B0931" w14:textId="08CC391A" w:rsidR="00E60D7C" w:rsidRDefault="00000000">
      <w:pPr>
        <w:pStyle w:val="ListParagraph"/>
        <w:numPr>
          <w:ilvl w:val="0"/>
          <w:numId w:val="2"/>
        </w:numPr>
        <w:spacing w:before="40" w:after="40"/>
      </w:pPr>
      <w:r>
        <w:rPr>
          <w:color w:val="1A1A2E"/>
          <w:sz w:val="18"/>
          <w:szCs w:val="18"/>
        </w:rPr>
        <w:t>Live demo access — Value Map Builder and Account Brief are accessible on Vercel today</w:t>
      </w:r>
    </w:p>
    <w:p w14:paraId="318B0932" w14:textId="77777777" w:rsidR="00E60D7C" w:rsidRDefault="00000000">
      <w:pPr>
        <w:pStyle w:val="ListParagraph"/>
        <w:numPr>
          <w:ilvl w:val="0"/>
          <w:numId w:val="2"/>
        </w:numPr>
        <w:spacing w:before="40" w:after="40"/>
      </w:pPr>
      <w:r>
        <w:rPr>
          <w:color w:val="1A1A2E"/>
          <w:sz w:val="18"/>
          <w:szCs w:val="18"/>
        </w:rPr>
        <w:t>Tool source files — all index.html files available for IT inspection</w:t>
      </w:r>
    </w:p>
    <w:p w14:paraId="318B0933" w14:textId="1E8DED61" w:rsidR="00E60D7C" w:rsidRDefault="00000000">
      <w:pPr>
        <w:pStyle w:val="ListParagraph"/>
        <w:numPr>
          <w:ilvl w:val="0"/>
          <w:numId w:val="2"/>
        </w:numPr>
        <w:spacing w:before="40" w:after="40"/>
      </w:pPr>
      <w:r>
        <w:rPr>
          <w:color w:val="1A1A2E"/>
          <w:sz w:val="18"/>
          <w:szCs w:val="18"/>
        </w:rPr>
        <w:t>Hub landing page HTML — pre-cleaned of all Vercel URLs, ready for Conga domain substitution</w:t>
      </w:r>
    </w:p>
    <w:p w14:paraId="318B0934" w14:textId="77777777" w:rsidR="00E60D7C" w:rsidRDefault="00000000">
      <w:pPr>
        <w:pStyle w:val="ListParagraph"/>
        <w:numPr>
          <w:ilvl w:val="0"/>
          <w:numId w:val="2"/>
        </w:numPr>
        <w:spacing w:before="40" w:after="40"/>
      </w:pPr>
      <w:r>
        <w:rPr>
          <w:color w:val="1A1A2E"/>
          <w:sz w:val="18"/>
          <w:szCs w:val="18"/>
        </w:rPr>
        <w:t>Prompt architecture overview — available upon request for security review</w:t>
      </w:r>
    </w:p>
    <w:p w14:paraId="318B0935" w14:textId="77777777" w:rsidR="00E60D7C" w:rsidRDefault="00E60D7C">
      <w:pPr>
        <w:spacing w:before="140"/>
      </w:pPr>
    </w:p>
    <w:p w14:paraId="318B0936" w14:textId="77777777" w:rsidR="00E60D7C" w:rsidRDefault="00000000">
      <w:pPr>
        <w:pStyle w:val="Heading1"/>
        <w:pBdr>
          <w:bottom w:val="single" w:sz="6" w:space="4" w:color="7C5CFC"/>
        </w:pBdr>
      </w:pPr>
      <w:r>
        <w:t>9. Appendix — Technical Reference</w:t>
      </w:r>
    </w:p>
    <w:p w14:paraId="318B0937" w14:textId="77777777" w:rsidR="00E60D7C" w:rsidRDefault="00000000">
      <w:pPr>
        <w:pStyle w:val="Heading2"/>
      </w:pPr>
      <w:r>
        <w:t>9.1 Required API Headers (All Tools)</w:t>
      </w:r>
    </w:p>
    <w:p w14:paraId="318B0938" w14:textId="77777777" w:rsidR="00E60D7C" w:rsidRDefault="00E60D7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60D7C" w14:paraId="318B093B" w14:textId="77777777">
        <w:tc>
          <w:tcPr>
            <w:tcW w:w="3200" w:type="dxa"/>
            <w:tcBorders>
              <w:top w:val="single" w:sz="1" w:space="0" w:color="7C5CFC"/>
              <w:left w:val="single" w:sz="1" w:space="0" w:color="7C5CFC"/>
              <w:bottom w:val="single" w:sz="1" w:space="0" w:color="7C5CFC"/>
              <w:right w:val="single" w:sz="1" w:space="0" w:color="7C5CFC"/>
            </w:tcBorders>
            <w:shd w:val="clear" w:color="auto" w:fill="7C5CFC"/>
            <w:tcMar>
              <w:top w:w="100" w:type="dxa"/>
              <w:left w:w="140" w:type="dxa"/>
              <w:bottom w:w="100" w:type="dxa"/>
              <w:right w:w="140" w:type="dxa"/>
            </w:tcMar>
            <w:vAlign w:val="center"/>
          </w:tcPr>
          <w:p w14:paraId="318B0939" w14:textId="77777777" w:rsidR="00E60D7C" w:rsidRDefault="00000000">
            <w:r>
              <w:rPr>
                <w:b/>
                <w:bCs/>
                <w:color w:val="FFFFFF"/>
                <w:sz w:val="18"/>
                <w:szCs w:val="18"/>
              </w:rPr>
              <w:t>Header</w:t>
            </w:r>
          </w:p>
        </w:tc>
        <w:tc>
          <w:tcPr>
            <w:tcW w:w="6160" w:type="dxa"/>
            <w:tcBorders>
              <w:top w:val="single" w:sz="1" w:space="0" w:color="7C5CFC"/>
              <w:left w:val="single" w:sz="1" w:space="0" w:color="7C5CFC"/>
              <w:bottom w:val="single" w:sz="1" w:space="0" w:color="7C5CFC"/>
              <w:right w:val="single" w:sz="1" w:space="0" w:color="7C5CFC"/>
            </w:tcBorders>
            <w:shd w:val="clear" w:color="auto" w:fill="7C5CFC"/>
            <w:tcMar>
              <w:top w:w="100" w:type="dxa"/>
              <w:left w:w="140" w:type="dxa"/>
              <w:bottom w:w="100" w:type="dxa"/>
              <w:right w:w="140" w:type="dxa"/>
            </w:tcMar>
            <w:vAlign w:val="center"/>
          </w:tcPr>
          <w:p w14:paraId="318B093A" w14:textId="77777777" w:rsidR="00E60D7C" w:rsidRDefault="00000000">
            <w:r>
              <w:rPr>
                <w:b/>
                <w:bCs/>
                <w:color w:val="FFFFFF"/>
                <w:sz w:val="18"/>
                <w:szCs w:val="18"/>
              </w:rPr>
              <w:t>Value / Notes</w:t>
            </w:r>
          </w:p>
        </w:tc>
      </w:tr>
      <w:tr w:rsidR="00E60D7C" w14:paraId="318B093E"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8B093C" w14:textId="77777777" w:rsidR="00E60D7C" w:rsidRDefault="00000000">
            <w:r>
              <w:rPr>
                <w:color w:val="1A1A2E"/>
                <w:sz w:val="18"/>
                <w:szCs w:val="18"/>
              </w:rPr>
              <w:t>Content-Type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8B093D" w14:textId="77777777" w:rsidR="00E60D7C" w:rsidRDefault="00000000">
            <w:r>
              <w:rPr>
                <w:color w:val="1A1A2E"/>
                <w:sz w:val="18"/>
                <w:szCs w:val="18"/>
              </w:rPr>
              <w:t>application/json</w:t>
            </w:r>
          </w:p>
        </w:tc>
      </w:tr>
      <w:tr w:rsidR="00E60D7C" w14:paraId="318B094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B093F" w14:textId="77777777" w:rsidR="00E60D7C" w:rsidRDefault="00000000">
            <w:r>
              <w:rPr>
                <w:color w:val="1A1A2E"/>
                <w:sz w:val="18"/>
                <w:szCs w:val="18"/>
              </w:rPr>
              <w:t>anthropic-version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B0940" w14:textId="77777777" w:rsidR="00E60D7C" w:rsidRDefault="00000000">
            <w:r>
              <w:rPr>
                <w:color w:val="1A1A2E"/>
                <w:sz w:val="18"/>
                <w:szCs w:val="18"/>
              </w:rPr>
              <w:t>2023-06-01 — required; omitting causes silent failure</w:t>
            </w:r>
          </w:p>
        </w:tc>
      </w:tr>
      <w:tr w:rsidR="00E60D7C" w14:paraId="318B094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B0945" w14:textId="77777777" w:rsidR="00E60D7C" w:rsidRDefault="00000000">
            <w:r>
              <w:rPr>
                <w:color w:val="1A1A2E"/>
                <w:sz w:val="18"/>
                <w:szCs w:val="18"/>
              </w:rPr>
              <w:t>x-api-key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B0946" w14:textId="77777777" w:rsidR="00E60D7C" w:rsidRDefault="00000000">
            <w:r>
              <w:rPr>
                <w:color w:val="1A1A2E"/>
                <w:sz w:val="18"/>
                <w:szCs w:val="18"/>
              </w:rPr>
              <w:t>Anthropic API key — stored as a server-side environment variable; injected by the proxy function at runtime, never exposed to the browser</w:t>
            </w:r>
          </w:p>
        </w:tc>
      </w:tr>
    </w:tbl>
    <w:p w14:paraId="318B0948" w14:textId="2343106C" w:rsidR="00E60D7C" w:rsidRPr="004F57E1" w:rsidRDefault="004F57E1">
      <w:pPr>
        <w:spacing w:before="100"/>
        <w:rPr>
          <w:color w:val="EE0000"/>
        </w:rPr>
      </w:pPr>
      <w:r>
        <w:rPr>
          <w:color w:val="EE0000"/>
        </w:rPr>
        <w:t xml:space="preserve"> </w:t>
      </w:r>
    </w:p>
    <w:p w14:paraId="318B0949" w14:textId="77777777" w:rsidR="00E60D7C" w:rsidRDefault="00000000">
      <w:pPr>
        <w:pStyle w:val="Heading2"/>
      </w:pPr>
      <w:r>
        <w:t>9.2 Models Used</w:t>
      </w:r>
    </w:p>
    <w:p w14:paraId="318B094A" w14:textId="77777777" w:rsidR="00E60D7C" w:rsidRDefault="00000000">
      <w:pPr>
        <w:pStyle w:val="ListParagraph"/>
        <w:numPr>
          <w:ilvl w:val="0"/>
          <w:numId w:val="2"/>
        </w:numPr>
        <w:spacing w:before="40" w:after="40"/>
      </w:pPr>
      <w:r>
        <w:rPr>
          <w:color w:val="1A1A2E"/>
          <w:sz w:val="18"/>
          <w:szCs w:val="18"/>
        </w:rPr>
        <w:t>Claude Haiku (claude-haiku-4-5-20251001) — used for multi-pass research tools; cost/speed optimized</w:t>
      </w:r>
    </w:p>
    <w:p w14:paraId="318B094B" w14:textId="77777777" w:rsidR="00E60D7C" w:rsidRDefault="00000000">
      <w:pPr>
        <w:pStyle w:val="ListParagraph"/>
        <w:numPr>
          <w:ilvl w:val="0"/>
          <w:numId w:val="2"/>
        </w:numPr>
        <w:spacing w:before="40" w:after="40"/>
      </w:pPr>
      <w:r>
        <w:rPr>
          <w:color w:val="1A1A2E"/>
          <w:sz w:val="18"/>
          <w:szCs w:val="18"/>
        </w:rPr>
        <w:t>Claude Sonnet (claude-sonnet-4-6) — used for synthesis and analytical passes where quality matters</w:t>
      </w:r>
    </w:p>
    <w:p w14:paraId="318B094C" w14:textId="77777777" w:rsidR="00E60D7C" w:rsidRDefault="00E60D7C">
      <w:pPr>
        <w:spacing w:before="100"/>
      </w:pPr>
    </w:p>
    <w:p w14:paraId="318B094D" w14:textId="77777777" w:rsidR="00E60D7C" w:rsidRDefault="00000000">
      <w:pPr>
        <w:pStyle w:val="Heading2"/>
      </w:pPr>
      <w:r>
        <w:t>9.3 Conga Branding Tokens</w:t>
      </w:r>
    </w:p>
    <w:p w14:paraId="318B094E" w14:textId="77777777" w:rsidR="00E60D7C" w:rsidRDefault="00000000">
      <w:pPr>
        <w:pStyle w:val="ListParagraph"/>
        <w:numPr>
          <w:ilvl w:val="0"/>
          <w:numId w:val="2"/>
        </w:numPr>
        <w:spacing w:before="40" w:after="40"/>
      </w:pPr>
      <w:r>
        <w:rPr>
          <w:color w:val="1A1A2E"/>
          <w:sz w:val="18"/>
          <w:szCs w:val="18"/>
        </w:rPr>
        <w:t>Primary accent: Purple 400 — #7C5CFC</w:t>
      </w:r>
    </w:p>
    <w:p w14:paraId="318B094F" w14:textId="77777777" w:rsidR="00E60D7C" w:rsidRDefault="00000000">
      <w:pPr>
        <w:pStyle w:val="ListParagraph"/>
        <w:numPr>
          <w:ilvl w:val="0"/>
          <w:numId w:val="2"/>
        </w:numPr>
        <w:spacing w:before="40" w:after="40"/>
      </w:pPr>
      <w:r>
        <w:rPr>
          <w:color w:val="1A1A2E"/>
          <w:sz w:val="18"/>
          <w:szCs w:val="18"/>
        </w:rPr>
        <w:t>All assets (Conga 'C' logo, favicons) are base64-encoded inline — no external asset dependencies</w:t>
      </w:r>
    </w:p>
    <w:p w14:paraId="318B0950" w14:textId="77777777" w:rsidR="00E60D7C" w:rsidRDefault="00000000">
      <w:pPr>
        <w:pStyle w:val="ListParagraph"/>
        <w:numPr>
          <w:ilvl w:val="0"/>
          <w:numId w:val="2"/>
        </w:numPr>
        <w:spacing w:before="40" w:after="40"/>
      </w:pPr>
      <w:r>
        <w:rPr>
          <w:color w:val="1A1A2E"/>
          <w:sz w:val="18"/>
          <w:szCs w:val="18"/>
        </w:rPr>
        <w:t>Design system is consistent across all tools — migration does not affect visual identity</w:t>
      </w:r>
    </w:p>
    <w:p w14:paraId="318B0951" w14:textId="77777777" w:rsidR="00E60D7C" w:rsidRDefault="00E60D7C">
      <w:pPr>
        <w:spacing w:before="140"/>
      </w:pPr>
    </w:p>
    <w:p w14:paraId="318B0952" w14:textId="77777777" w:rsidR="00E60D7C" w:rsidRDefault="00000000">
      <w:pPr>
        <w:pBdr>
          <w:top w:val="single" w:sz="2" w:space="0" w:color="CCCCCC"/>
        </w:pBdr>
        <w:spacing w:before="40" w:after="40"/>
      </w:pPr>
      <w:r>
        <w:rPr>
          <w:i/>
          <w:iCs/>
          <w:color w:val="4B4B6B"/>
          <w:sz w:val="16"/>
          <w:szCs w:val="16"/>
        </w:rPr>
        <w:t>Conga AI Sales Enablement Tool Suite — Engineering Brief  |  Confidential  |  April 2026  |  Questions: contact Reeves</w:t>
      </w:r>
    </w:p>
    <w:sectPr w:rsidR="00E60D7C">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F669C" w14:textId="77777777" w:rsidR="00590596" w:rsidRDefault="00590596">
      <w:r>
        <w:separator/>
      </w:r>
    </w:p>
  </w:endnote>
  <w:endnote w:type="continuationSeparator" w:id="0">
    <w:p w14:paraId="28AE2759" w14:textId="77777777" w:rsidR="00590596" w:rsidRDefault="005905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49A2F" w14:textId="77777777" w:rsidR="00590596" w:rsidRDefault="00590596">
      <w:r>
        <w:separator/>
      </w:r>
    </w:p>
  </w:footnote>
  <w:footnote w:type="continuationSeparator" w:id="0">
    <w:p w14:paraId="2A1D041E" w14:textId="77777777" w:rsidR="00590596" w:rsidRDefault="005905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0"/>
      <w:gridCol w:w="3000"/>
    </w:tblGrid>
    <w:tr w:rsidR="00E60D7C" w14:paraId="318B0955" w14:textId="77777777">
      <w:tc>
        <w:tcPr>
          <w:tcW w:w="7080" w:type="dxa"/>
          <w:tcBorders>
            <w:bottom w:val="single" w:sz="4" w:space="0" w:color="7C5CFC"/>
          </w:tcBorders>
          <w:shd w:val="clear" w:color="auto" w:fill="FFFFFF"/>
          <w:tcMar>
            <w:top w:w="40" w:type="dxa"/>
            <w:left w:w="0" w:type="dxa"/>
            <w:bottom w:w="60" w:type="dxa"/>
            <w:right w:w="0" w:type="dxa"/>
          </w:tcMar>
        </w:tcPr>
        <w:p w14:paraId="318B0953" w14:textId="77777777" w:rsidR="00E60D7C" w:rsidRDefault="00000000">
          <w:r>
            <w:rPr>
              <w:b/>
              <w:bCs/>
              <w:color w:val="7C5CFC"/>
              <w:sz w:val="18"/>
              <w:szCs w:val="18"/>
            </w:rPr>
            <w:t xml:space="preserve">Conga AI Sales Tools </w:t>
          </w:r>
          <w:r>
            <w:rPr>
              <w:color w:val="4B4B6B"/>
              <w:sz w:val="18"/>
              <w:szCs w:val="18"/>
            </w:rPr>
            <w:t>| Engineering &amp; Infrastructure Brief</w:t>
          </w:r>
        </w:p>
      </w:tc>
      <w:tc>
        <w:tcPr>
          <w:tcW w:w="3000" w:type="dxa"/>
          <w:tcBorders>
            <w:bottom w:val="single" w:sz="4" w:space="0" w:color="7C5CFC"/>
          </w:tcBorders>
          <w:shd w:val="clear" w:color="auto" w:fill="FFFFFF"/>
          <w:tcMar>
            <w:top w:w="40" w:type="dxa"/>
            <w:left w:w="0" w:type="dxa"/>
            <w:bottom w:w="60" w:type="dxa"/>
            <w:right w:w="0" w:type="dxa"/>
          </w:tcMar>
        </w:tcPr>
        <w:p w14:paraId="318B0954" w14:textId="77777777" w:rsidR="00E60D7C" w:rsidRDefault="00000000">
          <w:pPr>
            <w:jc w:val="right"/>
          </w:pPr>
          <w:r>
            <w:rPr>
              <w:i/>
              <w:iCs/>
              <w:color w:val="4B4B6B"/>
              <w:sz w:val="16"/>
              <w:szCs w:val="16"/>
            </w:rPr>
            <w:t>Confidential — Internal Use Only</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B435B"/>
    <w:multiLevelType w:val="hybridMultilevel"/>
    <w:tmpl w:val="64EE8002"/>
    <w:lvl w:ilvl="0" w:tplc="70FA927C">
      <w:start w:val="1"/>
      <w:numFmt w:val="bullet"/>
      <w:lvlText w:val="●"/>
      <w:lvlJc w:val="left"/>
      <w:pPr>
        <w:ind w:left="720" w:hanging="360"/>
      </w:pPr>
    </w:lvl>
    <w:lvl w:ilvl="1" w:tplc="0CC4FFB4">
      <w:start w:val="1"/>
      <w:numFmt w:val="bullet"/>
      <w:lvlText w:val="○"/>
      <w:lvlJc w:val="left"/>
      <w:pPr>
        <w:ind w:left="1440" w:hanging="360"/>
      </w:pPr>
    </w:lvl>
    <w:lvl w:ilvl="2" w:tplc="5CD48CD2">
      <w:start w:val="1"/>
      <w:numFmt w:val="bullet"/>
      <w:lvlText w:val="■"/>
      <w:lvlJc w:val="left"/>
      <w:pPr>
        <w:ind w:left="2160" w:hanging="360"/>
      </w:pPr>
    </w:lvl>
    <w:lvl w:ilvl="3" w:tplc="E5B878E6">
      <w:start w:val="1"/>
      <w:numFmt w:val="bullet"/>
      <w:lvlText w:val="●"/>
      <w:lvlJc w:val="left"/>
      <w:pPr>
        <w:ind w:left="2880" w:hanging="360"/>
      </w:pPr>
    </w:lvl>
    <w:lvl w:ilvl="4" w:tplc="A54AB3F6">
      <w:start w:val="1"/>
      <w:numFmt w:val="bullet"/>
      <w:lvlText w:val="○"/>
      <w:lvlJc w:val="left"/>
      <w:pPr>
        <w:ind w:left="3600" w:hanging="360"/>
      </w:pPr>
    </w:lvl>
    <w:lvl w:ilvl="5" w:tplc="6B08A1C8">
      <w:start w:val="1"/>
      <w:numFmt w:val="bullet"/>
      <w:lvlText w:val="■"/>
      <w:lvlJc w:val="left"/>
      <w:pPr>
        <w:ind w:left="4320" w:hanging="360"/>
      </w:pPr>
    </w:lvl>
    <w:lvl w:ilvl="6" w:tplc="EF3C580A">
      <w:start w:val="1"/>
      <w:numFmt w:val="bullet"/>
      <w:lvlText w:val="●"/>
      <w:lvlJc w:val="left"/>
      <w:pPr>
        <w:ind w:left="5040" w:hanging="360"/>
      </w:pPr>
    </w:lvl>
    <w:lvl w:ilvl="7" w:tplc="F02A0260">
      <w:start w:val="1"/>
      <w:numFmt w:val="bullet"/>
      <w:lvlText w:val="●"/>
      <w:lvlJc w:val="left"/>
      <w:pPr>
        <w:ind w:left="5760" w:hanging="360"/>
      </w:pPr>
    </w:lvl>
    <w:lvl w:ilvl="8" w:tplc="982EBB1C">
      <w:start w:val="1"/>
      <w:numFmt w:val="bullet"/>
      <w:lvlText w:val="●"/>
      <w:lvlJc w:val="left"/>
      <w:pPr>
        <w:ind w:left="6480" w:hanging="360"/>
      </w:pPr>
    </w:lvl>
  </w:abstractNum>
  <w:abstractNum w:abstractNumId="1" w15:restartNumberingAfterBreak="0">
    <w:nsid w:val="58B90751"/>
    <w:multiLevelType w:val="hybridMultilevel"/>
    <w:tmpl w:val="9A7E4C9E"/>
    <w:lvl w:ilvl="0" w:tplc="C49C34A6">
      <w:start w:val="1"/>
      <w:numFmt w:val="bullet"/>
      <w:lvlText w:val="◦"/>
      <w:lvlJc w:val="left"/>
      <w:pPr>
        <w:ind w:left="1080" w:hanging="360"/>
      </w:pPr>
    </w:lvl>
    <w:lvl w:ilvl="1" w:tplc="5694F650">
      <w:numFmt w:val="decimal"/>
      <w:lvlText w:val=""/>
      <w:lvlJc w:val="left"/>
    </w:lvl>
    <w:lvl w:ilvl="2" w:tplc="F48ADC26">
      <w:numFmt w:val="decimal"/>
      <w:lvlText w:val=""/>
      <w:lvlJc w:val="left"/>
    </w:lvl>
    <w:lvl w:ilvl="3" w:tplc="5588A146">
      <w:numFmt w:val="decimal"/>
      <w:lvlText w:val=""/>
      <w:lvlJc w:val="left"/>
    </w:lvl>
    <w:lvl w:ilvl="4" w:tplc="8F065B82">
      <w:numFmt w:val="decimal"/>
      <w:lvlText w:val=""/>
      <w:lvlJc w:val="left"/>
    </w:lvl>
    <w:lvl w:ilvl="5" w:tplc="DBEC6C28">
      <w:numFmt w:val="decimal"/>
      <w:lvlText w:val=""/>
      <w:lvlJc w:val="left"/>
    </w:lvl>
    <w:lvl w:ilvl="6" w:tplc="B39A955E">
      <w:numFmt w:val="decimal"/>
      <w:lvlText w:val=""/>
      <w:lvlJc w:val="left"/>
    </w:lvl>
    <w:lvl w:ilvl="7" w:tplc="9AD2F75A">
      <w:numFmt w:val="decimal"/>
      <w:lvlText w:val=""/>
      <w:lvlJc w:val="left"/>
    </w:lvl>
    <w:lvl w:ilvl="8" w:tplc="DB2E07AA">
      <w:numFmt w:val="decimal"/>
      <w:lvlText w:val=""/>
      <w:lvlJc w:val="left"/>
    </w:lvl>
  </w:abstractNum>
  <w:abstractNum w:abstractNumId="2" w15:restartNumberingAfterBreak="0">
    <w:nsid w:val="6028334D"/>
    <w:multiLevelType w:val="hybridMultilevel"/>
    <w:tmpl w:val="AAA8776C"/>
    <w:lvl w:ilvl="0" w:tplc="E08E5B14">
      <w:start w:val="1"/>
      <w:numFmt w:val="decimal"/>
      <w:lvlText w:val="%1."/>
      <w:lvlJc w:val="left"/>
      <w:pPr>
        <w:ind w:left="720" w:hanging="360"/>
      </w:pPr>
    </w:lvl>
    <w:lvl w:ilvl="1" w:tplc="733637F2">
      <w:numFmt w:val="decimal"/>
      <w:lvlText w:val=""/>
      <w:lvlJc w:val="left"/>
    </w:lvl>
    <w:lvl w:ilvl="2" w:tplc="C1EAC39E">
      <w:numFmt w:val="decimal"/>
      <w:lvlText w:val=""/>
      <w:lvlJc w:val="left"/>
    </w:lvl>
    <w:lvl w:ilvl="3" w:tplc="2CFE5EB8">
      <w:numFmt w:val="decimal"/>
      <w:lvlText w:val=""/>
      <w:lvlJc w:val="left"/>
    </w:lvl>
    <w:lvl w:ilvl="4" w:tplc="4FE6A560">
      <w:numFmt w:val="decimal"/>
      <w:lvlText w:val=""/>
      <w:lvlJc w:val="left"/>
    </w:lvl>
    <w:lvl w:ilvl="5" w:tplc="D402E43C">
      <w:numFmt w:val="decimal"/>
      <w:lvlText w:val=""/>
      <w:lvlJc w:val="left"/>
    </w:lvl>
    <w:lvl w:ilvl="6" w:tplc="66404418">
      <w:numFmt w:val="decimal"/>
      <w:lvlText w:val=""/>
      <w:lvlJc w:val="left"/>
    </w:lvl>
    <w:lvl w:ilvl="7" w:tplc="A2620B28">
      <w:numFmt w:val="decimal"/>
      <w:lvlText w:val=""/>
      <w:lvlJc w:val="left"/>
    </w:lvl>
    <w:lvl w:ilvl="8" w:tplc="81D446AA">
      <w:numFmt w:val="decimal"/>
      <w:lvlText w:val=""/>
      <w:lvlJc w:val="left"/>
    </w:lvl>
  </w:abstractNum>
  <w:abstractNum w:abstractNumId="3" w15:restartNumberingAfterBreak="0">
    <w:nsid w:val="79C83C18"/>
    <w:multiLevelType w:val="hybridMultilevel"/>
    <w:tmpl w:val="29DE984A"/>
    <w:lvl w:ilvl="0" w:tplc="C9E4E53E">
      <w:start w:val="1"/>
      <w:numFmt w:val="bullet"/>
      <w:lvlText w:val="•"/>
      <w:lvlJc w:val="left"/>
      <w:pPr>
        <w:ind w:left="720" w:hanging="360"/>
      </w:pPr>
    </w:lvl>
    <w:lvl w:ilvl="1" w:tplc="0F3CABAE">
      <w:numFmt w:val="decimal"/>
      <w:lvlText w:val=""/>
      <w:lvlJc w:val="left"/>
    </w:lvl>
    <w:lvl w:ilvl="2" w:tplc="BEF8CE16">
      <w:numFmt w:val="decimal"/>
      <w:lvlText w:val=""/>
      <w:lvlJc w:val="left"/>
    </w:lvl>
    <w:lvl w:ilvl="3" w:tplc="B122EDDA">
      <w:numFmt w:val="decimal"/>
      <w:lvlText w:val=""/>
      <w:lvlJc w:val="left"/>
    </w:lvl>
    <w:lvl w:ilvl="4" w:tplc="446069A6">
      <w:numFmt w:val="decimal"/>
      <w:lvlText w:val=""/>
      <w:lvlJc w:val="left"/>
    </w:lvl>
    <w:lvl w:ilvl="5" w:tplc="97DC72E8">
      <w:numFmt w:val="decimal"/>
      <w:lvlText w:val=""/>
      <w:lvlJc w:val="left"/>
    </w:lvl>
    <w:lvl w:ilvl="6" w:tplc="9858ED08">
      <w:numFmt w:val="decimal"/>
      <w:lvlText w:val=""/>
      <w:lvlJc w:val="left"/>
    </w:lvl>
    <w:lvl w:ilvl="7" w:tplc="1136A196">
      <w:numFmt w:val="decimal"/>
      <w:lvlText w:val=""/>
      <w:lvlJc w:val="left"/>
    </w:lvl>
    <w:lvl w:ilvl="8" w:tplc="A9D0391A">
      <w:numFmt w:val="decimal"/>
      <w:lvlText w:val=""/>
      <w:lvlJc w:val="left"/>
    </w:lvl>
  </w:abstractNum>
  <w:num w:numId="1" w16cid:durableId="991519052">
    <w:abstractNumId w:val="0"/>
    <w:lvlOverride w:ilvl="0">
      <w:startOverride w:val="1"/>
    </w:lvlOverride>
  </w:num>
  <w:num w:numId="2" w16cid:durableId="1224101581">
    <w:abstractNumId w:val="3"/>
    <w:lvlOverride w:ilvl="0">
      <w:startOverride w:val="1"/>
    </w:lvlOverride>
  </w:num>
  <w:num w:numId="3" w16cid:durableId="10018512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D7C"/>
    <w:rsid w:val="001B5D31"/>
    <w:rsid w:val="004F57E1"/>
    <w:rsid w:val="00590596"/>
    <w:rsid w:val="0067067F"/>
    <w:rsid w:val="00964B64"/>
    <w:rsid w:val="00A26799"/>
    <w:rsid w:val="00C269A3"/>
    <w:rsid w:val="00CE7B89"/>
    <w:rsid w:val="00DB3B95"/>
    <w:rsid w:val="00E60D7C"/>
    <w:rsid w:val="00E6586E"/>
    <w:rsid w:val="00EB5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8B0855"/>
  <w15:docId w15:val="{D798EAC7-975F-1E45-884B-1B6A07B50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7C5CFC"/>
      <w:sz w:val="28"/>
      <w:szCs w:val="28"/>
    </w:rPr>
  </w:style>
  <w:style w:type="paragraph" w:styleId="Heading2">
    <w:name w:val="heading 2"/>
    <w:uiPriority w:val="9"/>
    <w:unhideWhenUsed/>
    <w:qFormat/>
    <w:pPr>
      <w:spacing w:before="240" w:after="80"/>
      <w:outlineLvl w:val="1"/>
    </w:pPr>
    <w:rPr>
      <w:b/>
      <w:bCs/>
      <w:color w:val="1A1A2E"/>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1507</Words>
  <Characters>8725</Characters>
  <Application>Microsoft Office Word</Application>
  <DocSecurity>0</DocSecurity>
  <Lines>257</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Reeves Goepfert</cp:lastModifiedBy>
  <cp:revision>4</cp:revision>
  <dcterms:created xsi:type="dcterms:W3CDTF">2026-04-17T14:44:00Z</dcterms:created>
  <dcterms:modified xsi:type="dcterms:W3CDTF">2026-04-20T15:09:00Z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edccfee-01fd-4312-8033-43d18efb0b7c_Enabled">
    <vt:lpwstr>true</vt:lpwstr>
  </property>
  <property fmtid="{D5CDD505-2E9C-101B-9397-08002B2CF9AE}" pid="3" name="MSIP_Label_2edccfee-01fd-4312-8033-43d18efb0b7c_SetDate">
    <vt:lpwstr>2026-04-17T13:17:58Z</vt:lpwstr>
  </property>
  <property fmtid="{D5CDD505-2E9C-101B-9397-08002B2CF9AE}" pid="4" name="MSIP_Label_2edccfee-01fd-4312-8033-43d18efb0b7c_Method">
    <vt:lpwstr>Standard</vt:lpwstr>
  </property>
  <property fmtid="{D5CDD505-2E9C-101B-9397-08002B2CF9AE}" pid="5" name="MSIP_Label_2edccfee-01fd-4312-8033-43d18efb0b7c_Name">
    <vt:lpwstr>Internal Use - General</vt:lpwstr>
  </property>
  <property fmtid="{D5CDD505-2E9C-101B-9397-08002B2CF9AE}" pid="6" name="MSIP_Label_2edccfee-01fd-4312-8033-43d18efb0b7c_SiteId">
    <vt:lpwstr>3a41ae53-fb35-4431-be7b-a0b3e1aee3c0</vt:lpwstr>
  </property>
  <property fmtid="{D5CDD505-2E9C-101B-9397-08002B2CF9AE}" pid="7" name="MSIP_Label_2edccfee-01fd-4312-8033-43d18efb0b7c_ActionId">
    <vt:lpwstr>d4ea1f09-6cb0-448e-a7af-601cd134e8ef</vt:lpwstr>
  </property>
  <property fmtid="{D5CDD505-2E9C-101B-9397-08002B2CF9AE}" pid="8" name="MSIP_Label_2edccfee-01fd-4312-8033-43d18efb0b7c_ContentBits">
    <vt:lpwstr>0</vt:lpwstr>
  </property>
  <property fmtid="{D5CDD505-2E9C-101B-9397-08002B2CF9AE}" pid="9" name="MSIP_Label_2edccfee-01fd-4312-8033-43d18efb0b7c_Tag">
    <vt:lpwstr>50, 3, 0, 1</vt:lpwstr>
  </property>
  <property fmtid="{D5CDD505-2E9C-101B-9397-08002B2CF9AE}" pid="10" name="MSIP_Label_45bb2fc7-9575-4989-9d50-5111b23d1bc4_Enabled">
    <vt:lpwstr>true</vt:lpwstr>
  </property>
  <property fmtid="{D5CDD505-2E9C-101B-9397-08002B2CF9AE}" pid="11" name="MSIP_Label_45bb2fc7-9575-4989-9d50-5111b23d1bc4_SetDate">
    <vt:lpwstr>2026-04-17T15:11:57Z</vt:lpwstr>
  </property>
  <property fmtid="{D5CDD505-2E9C-101B-9397-08002B2CF9AE}" pid="12" name="MSIP_Label_45bb2fc7-9575-4989-9d50-5111b23d1bc4_Method">
    <vt:lpwstr>Standard</vt:lpwstr>
  </property>
  <property fmtid="{D5CDD505-2E9C-101B-9397-08002B2CF9AE}" pid="13" name="MSIP_Label_45bb2fc7-9575-4989-9d50-5111b23d1bc4_Name">
    <vt:lpwstr>defa4170-0d19-0005-0004-bc88714345d2</vt:lpwstr>
  </property>
  <property fmtid="{D5CDD505-2E9C-101B-9397-08002B2CF9AE}" pid="14" name="MSIP_Label_45bb2fc7-9575-4989-9d50-5111b23d1bc4_SiteId">
    <vt:lpwstr>094cfb7a-d131-4637-9047-e339e7d04359</vt:lpwstr>
  </property>
  <property fmtid="{D5CDD505-2E9C-101B-9397-08002B2CF9AE}" pid="15" name="MSIP_Label_45bb2fc7-9575-4989-9d50-5111b23d1bc4_ActionId">
    <vt:lpwstr>f478aa8f-d645-4d1c-9a2b-0aed3f632fd2</vt:lpwstr>
  </property>
  <property fmtid="{D5CDD505-2E9C-101B-9397-08002B2CF9AE}" pid="16" name="MSIP_Label_45bb2fc7-9575-4989-9d50-5111b23d1bc4_ContentBits">
    <vt:lpwstr>0</vt:lpwstr>
  </property>
  <property fmtid="{D5CDD505-2E9C-101B-9397-08002B2CF9AE}" pid="17" name="MSIP_Label_45bb2fc7-9575-4989-9d50-5111b23d1bc4_Tag">
    <vt:lpwstr>50, 3, 0, 1</vt:lpwstr>
  </property>
</Properties>
</file>