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DECB8" w14:textId="77777777" w:rsidR="001C42C4" w:rsidRDefault="00000000">
      <w:pPr>
        <w:spacing w:before="240" w:after="60"/>
      </w:pPr>
      <w:r>
        <w:rPr>
          <w:rFonts w:ascii="Arial" w:eastAsia="Arial" w:hAnsi="Arial" w:cs="Arial"/>
          <w:b/>
          <w:bCs/>
          <w:color w:val="0066CC"/>
          <w:sz w:val="56"/>
          <w:szCs w:val="56"/>
        </w:rPr>
        <w:t>Conga + PROS</w:t>
      </w:r>
    </w:p>
    <w:p w14:paraId="32CDECB9" w14:textId="77777777" w:rsidR="001C42C4" w:rsidRDefault="00000000">
      <w:pPr>
        <w:spacing w:after="60"/>
      </w:pPr>
      <w:r>
        <w:rPr>
          <w:rFonts w:ascii="Arial" w:eastAsia="Arial" w:hAnsi="Arial" w:cs="Arial"/>
          <w:b/>
          <w:bCs/>
          <w:color w:val="003366"/>
          <w:sz w:val="48"/>
          <w:szCs w:val="48"/>
        </w:rPr>
        <w:t>ICP Scoring Strategy</w:t>
      </w:r>
    </w:p>
    <w:p w14:paraId="32CDECBA" w14:textId="77777777" w:rsidR="001C42C4" w:rsidRDefault="00000000">
      <w:pPr>
        <w:spacing w:after="480"/>
      </w:pPr>
      <w:r>
        <w:rPr>
          <w:rFonts w:ascii="Arial" w:eastAsia="Arial" w:hAnsi="Arial" w:cs="Arial"/>
          <w:color w:val="555555"/>
          <w:sz w:val="24"/>
          <w:szCs w:val="24"/>
        </w:rPr>
        <w:t xml:space="preserve">Account Prioritization </w:t>
      </w:r>
      <w:proofErr w:type="gramStart"/>
      <w:r>
        <w:rPr>
          <w:rFonts w:ascii="Arial" w:eastAsia="Arial" w:hAnsi="Arial" w:cs="Arial"/>
          <w:color w:val="555555"/>
          <w:sz w:val="24"/>
          <w:szCs w:val="24"/>
        </w:rPr>
        <w:t>Framework  |</w:t>
      </w:r>
      <w:proofErr w:type="gramEnd"/>
      <w:r>
        <w:rPr>
          <w:rFonts w:ascii="Arial" w:eastAsia="Arial" w:hAnsi="Arial" w:cs="Arial"/>
          <w:color w:val="555555"/>
          <w:sz w:val="24"/>
          <w:szCs w:val="24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4"/>
          <w:szCs w:val="24"/>
        </w:rPr>
        <w:t>v1.1  |</w:t>
      </w:r>
      <w:proofErr w:type="gramEnd"/>
      <w:r>
        <w:rPr>
          <w:rFonts w:ascii="Arial" w:eastAsia="Arial" w:hAnsi="Arial" w:cs="Arial"/>
          <w:color w:val="555555"/>
          <w:sz w:val="24"/>
          <w:szCs w:val="24"/>
        </w:rPr>
        <w:t xml:space="preserve">  April 2026</w:t>
      </w:r>
    </w:p>
    <w:p w14:paraId="32CDECBB" w14:textId="77777777" w:rsidR="001C42C4" w:rsidRDefault="00000000">
      <w:pPr>
        <w:pBdr>
          <w:bottom w:val="single" w:sz="6" w:space="4" w:color="0066CC"/>
        </w:pBdr>
        <w:spacing w:before="400" w:after="120"/>
      </w:pPr>
      <w:r>
        <w:rPr>
          <w:rFonts w:ascii="Arial" w:eastAsia="Arial" w:hAnsi="Arial" w:cs="Arial"/>
          <w:b/>
          <w:bCs/>
          <w:color w:val="0066CC"/>
          <w:sz w:val="36"/>
          <w:szCs w:val="36"/>
        </w:rPr>
        <w:t>1. Overview</w:t>
      </w:r>
    </w:p>
    <w:p w14:paraId="32CDECBC" w14:textId="77777777" w:rsidR="001C42C4" w:rsidRDefault="00000000">
      <w:pPr>
        <w:spacing w:before="40" w:after="80"/>
      </w:pPr>
      <w:r>
        <w:rPr>
          <w:rFonts w:ascii="Arial" w:eastAsia="Arial" w:hAnsi="Arial" w:cs="Arial"/>
        </w:rPr>
        <w:t>The ICP Scoring Engine replaces subjective ICP prose with an explicit, weighted scoring formula. Every account is scored across six dimensions in priority order. Product selection applies a hard industry gate — excluded industries never appear in results regardless of signals.</w:t>
      </w:r>
    </w:p>
    <w:p w14:paraId="32CDECBD" w14:textId="77777777" w:rsidR="001C42C4" w:rsidRDefault="00000000">
      <w:pPr>
        <w:spacing w:before="40" w:after="80"/>
      </w:pPr>
      <w:r>
        <w:rPr>
          <w:rFonts w:ascii="Arial" w:eastAsia="Arial" w:hAnsi="Arial" w:cs="Arial"/>
        </w:rPr>
        <w:t xml:space="preserve">This framework governs the Prospecting Agent (Module 2) and is designed to be portable to all </w:t>
      </w:r>
      <w:proofErr w:type="spellStart"/>
      <w:r>
        <w:rPr>
          <w:rFonts w:ascii="Arial" w:eastAsia="Arial" w:hAnsi="Arial" w:cs="Arial"/>
        </w:rPr>
        <w:t>Znith</w:t>
      </w:r>
      <w:proofErr w:type="spellEnd"/>
      <w:r>
        <w:rPr>
          <w:rFonts w:ascii="Arial" w:eastAsia="Arial" w:hAnsi="Arial" w:cs="Arial"/>
        </w:rPr>
        <w:t xml:space="preserve"> sales tools via a shared </w:t>
      </w:r>
      <w:proofErr w:type="spellStart"/>
      <w:r>
        <w:rPr>
          <w:rFonts w:ascii="Arial" w:eastAsia="Arial" w:hAnsi="Arial" w:cs="Arial"/>
        </w:rPr>
        <w:t>icp</w:t>
      </w:r>
      <w:proofErr w:type="spellEnd"/>
      <w:r>
        <w:rPr>
          <w:rFonts w:ascii="Arial" w:eastAsia="Arial" w:hAnsi="Arial" w:cs="Arial"/>
        </w:rPr>
        <w:t>-scoring-</w:t>
      </w:r>
      <w:proofErr w:type="spellStart"/>
      <w:r>
        <w:rPr>
          <w:rFonts w:ascii="Arial" w:eastAsia="Arial" w:hAnsi="Arial" w:cs="Arial"/>
        </w:rPr>
        <w:t>engine.json</w:t>
      </w:r>
      <w:proofErr w:type="spellEnd"/>
      <w:r>
        <w:rPr>
          <w:rFonts w:ascii="Arial" w:eastAsia="Arial" w:hAnsi="Arial" w:cs="Arial"/>
        </w:rPr>
        <w:t xml:space="preserve"> file.</w:t>
      </w:r>
    </w:p>
    <w:p w14:paraId="32CDECBE" w14:textId="77777777" w:rsidR="001C42C4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003366"/>
          <w:sz w:val="28"/>
          <w:szCs w:val="28"/>
        </w:rPr>
        <w:t>Scoring Weights</w:t>
      </w:r>
    </w:p>
    <w:p w14:paraId="32CDECBF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Signals (recency-weighted) — 35%</w:t>
      </w:r>
    </w:p>
    <w:p w14:paraId="32CDECC0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Growth Indicators — 20%</w:t>
      </w:r>
    </w:p>
    <w:p w14:paraId="32CDECC1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Industry Fit (product-gated) — 15%</w:t>
      </w:r>
    </w:p>
    <w:p w14:paraId="32CDECC2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Strategic Alignment — 15%</w:t>
      </w:r>
    </w:p>
    <w:p w14:paraId="32CDECC3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Business Model Fit — 10%</w:t>
      </w:r>
    </w:p>
    <w:p w14:paraId="32CDECC4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Hiring Trends — 5%</w:t>
      </w:r>
    </w:p>
    <w:p w14:paraId="32CDECC5" w14:textId="77777777" w:rsidR="001C42C4" w:rsidRDefault="00000000">
      <w:pPr>
        <w:spacing w:before="40" w:after="80"/>
      </w:pPr>
      <w:r>
        <w:rPr>
          <w:rFonts w:ascii="Arial" w:eastAsia="Arial" w:hAnsi="Arial" w:cs="Arial"/>
          <w:b/>
          <w:bCs/>
          <w:color w:val="003366"/>
        </w:rPr>
        <w:t xml:space="preserve">Formula: </w:t>
      </w:r>
      <w:proofErr w:type="spellStart"/>
      <w:r>
        <w:rPr>
          <w:rFonts w:ascii="Arial" w:eastAsia="Arial" w:hAnsi="Arial" w:cs="Arial"/>
          <w:b/>
          <w:bCs/>
          <w:color w:val="003366"/>
        </w:rPr>
        <w:t>combined_score</w:t>
      </w:r>
      <w:proofErr w:type="spellEnd"/>
      <w:r>
        <w:rPr>
          <w:rFonts w:ascii="Arial" w:eastAsia="Arial" w:hAnsi="Arial" w:cs="Arial"/>
          <w:b/>
          <w:bCs/>
          <w:color w:val="003366"/>
        </w:rPr>
        <w:t xml:space="preserve"> = (signal×0.35) + (growth×0.20) + (industry×0.15) + (strategic×0.15) + (biz_model×0.10) + (hiring×0.05)</w:t>
      </w:r>
    </w:p>
    <w:p w14:paraId="32CDECC6" w14:textId="77777777" w:rsidR="001C42C4" w:rsidRDefault="00000000">
      <w:r>
        <w:br w:type="page"/>
      </w:r>
    </w:p>
    <w:p w14:paraId="32CDECC7" w14:textId="77777777" w:rsidR="001C42C4" w:rsidRDefault="00000000">
      <w:pPr>
        <w:pBdr>
          <w:bottom w:val="single" w:sz="6" w:space="4" w:color="0066CC"/>
        </w:pBdr>
        <w:spacing w:before="400" w:after="120"/>
      </w:pPr>
      <w:r>
        <w:rPr>
          <w:rFonts w:ascii="Arial" w:eastAsia="Arial" w:hAnsi="Arial" w:cs="Arial"/>
          <w:b/>
          <w:bCs/>
          <w:color w:val="0066CC"/>
          <w:sz w:val="36"/>
          <w:szCs w:val="36"/>
        </w:rPr>
        <w:lastRenderedPageBreak/>
        <w:t>2. Priority Order — How Accounts Are Scored</w:t>
      </w:r>
    </w:p>
    <w:p w14:paraId="32CDECC8" w14:textId="77777777" w:rsidR="001C42C4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003366"/>
          <w:sz w:val="28"/>
          <w:szCs w:val="28"/>
        </w:rPr>
        <w:t>Priority 1 — Signals (35%)</w:t>
      </w:r>
    </w:p>
    <w:p w14:paraId="32CDECC9" w14:textId="77777777" w:rsidR="001C42C4" w:rsidRDefault="00000000">
      <w:pPr>
        <w:spacing w:before="40" w:after="80"/>
      </w:pPr>
      <w:r>
        <w:rPr>
          <w:rFonts w:ascii="Arial" w:eastAsia="Arial" w:hAnsi="Arial" w:cs="Arial"/>
        </w:rPr>
        <w:t>The single most important scoring dimension. Signals are scored using the Signal Taxonomy (base score × recency decay multiplier). The highest-scoring signal detected for each account drives this dimension.</w:t>
      </w:r>
    </w:p>
    <w:p w14:paraId="32CDECCA" w14:textId="77777777" w:rsidR="001C42C4" w:rsidRDefault="00000000">
      <w:pPr>
        <w:spacing w:before="30" w:after="30"/>
      </w:pPr>
      <w:r>
        <w:rPr>
          <w:rFonts w:ascii="Arial" w:eastAsia="Arial" w:hAnsi="Arial" w:cs="Arial"/>
          <w:b/>
          <w:bCs/>
        </w:rPr>
        <w:t xml:space="preserve">Recency decay: </w:t>
      </w:r>
      <w:r>
        <w:rPr>
          <w:rFonts w:ascii="Arial" w:eastAsia="Arial" w:hAnsi="Arial" w:cs="Arial"/>
        </w:rPr>
        <w:t>&lt;3 months ×1.</w:t>
      </w:r>
      <w:proofErr w:type="gramStart"/>
      <w:r>
        <w:rPr>
          <w:rFonts w:ascii="Arial" w:eastAsia="Arial" w:hAnsi="Arial" w:cs="Arial"/>
        </w:rPr>
        <w:t>0  |</w:t>
      </w:r>
      <w:proofErr w:type="gramEnd"/>
      <w:r>
        <w:rPr>
          <w:rFonts w:ascii="Arial" w:eastAsia="Arial" w:hAnsi="Arial" w:cs="Arial"/>
        </w:rPr>
        <w:t xml:space="preserve">  3–6 months ×0.</w:t>
      </w:r>
      <w:proofErr w:type="gramStart"/>
      <w:r>
        <w:rPr>
          <w:rFonts w:ascii="Arial" w:eastAsia="Arial" w:hAnsi="Arial" w:cs="Arial"/>
        </w:rPr>
        <w:t>85  |</w:t>
      </w:r>
      <w:proofErr w:type="gramEnd"/>
      <w:r>
        <w:rPr>
          <w:rFonts w:ascii="Arial" w:eastAsia="Arial" w:hAnsi="Arial" w:cs="Arial"/>
        </w:rPr>
        <w:t xml:space="preserve">  6–12 months ×0.</w:t>
      </w:r>
      <w:proofErr w:type="gramStart"/>
      <w:r>
        <w:rPr>
          <w:rFonts w:ascii="Arial" w:eastAsia="Arial" w:hAnsi="Arial" w:cs="Arial"/>
        </w:rPr>
        <w:t>60  |</w:t>
      </w:r>
      <w:proofErr w:type="gramEnd"/>
      <w:r>
        <w:rPr>
          <w:rFonts w:ascii="Arial" w:eastAsia="Arial" w:hAnsi="Arial" w:cs="Arial"/>
        </w:rPr>
        <w:t xml:space="preserve">  12–24 months ×0.</w:t>
      </w:r>
      <w:proofErr w:type="gramStart"/>
      <w:r>
        <w:rPr>
          <w:rFonts w:ascii="Arial" w:eastAsia="Arial" w:hAnsi="Arial" w:cs="Arial"/>
        </w:rPr>
        <w:t>30  |</w:t>
      </w:r>
      <w:proofErr w:type="gramEnd"/>
      <w:r>
        <w:rPr>
          <w:rFonts w:ascii="Arial" w:eastAsia="Arial" w:hAnsi="Arial" w:cs="Arial"/>
        </w:rPr>
        <w:t xml:space="preserve">  &gt;24 months ×0.00</w:t>
      </w:r>
    </w:p>
    <w:p w14:paraId="32CDECCB" w14:textId="77777777" w:rsidR="001C42C4" w:rsidRDefault="00000000">
      <w:pPr>
        <w:spacing w:before="30" w:after="30"/>
      </w:pPr>
      <w:r>
        <w:rPr>
          <w:rFonts w:ascii="Arial" w:eastAsia="Arial" w:hAnsi="Arial" w:cs="Arial"/>
          <w:b/>
          <w:bCs/>
        </w:rPr>
        <w:t xml:space="preserve">FDA signals: </w:t>
      </w:r>
      <w:r>
        <w:rPr>
          <w:rFonts w:ascii="Arial" w:eastAsia="Arial" w:hAnsi="Arial" w:cs="Arial"/>
        </w:rPr>
        <w:t>ANY FDA pre-approval or approval detection triggers a CLM flag regardless of product selected</w:t>
      </w:r>
    </w:p>
    <w:p w14:paraId="32CDECCC" w14:textId="77777777" w:rsidR="001C42C4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003366"/>
          <w:sz w:val="28"/>
          <w:szCs w:val="28"/>
        </w:rPr>
        <w:t>Priority 2 — Growth Indicators (20%)</w:t>
      </w:r>
    </w:p>
    <w:p w14:paraId="32CDECCD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Verified Salesforce CRM usage: +3 points</w:t>
      </w:r>
    </w:p>
    <w:p w14:paraId="32CDECCE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Revenue or headcount growth ≥20% YoY: +3 points</w:t>
      </w:r>
    </w:p>
    <w:p w14:paraId="32CDECCF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PE-backed or recently funded: +2 points</w:t>
      </w:r>
    </w:p>
    <w:p w14:paraId="32CDECD0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No growth signals: score 3 or below</w:t>
      </w:r>
    </w:p>
    <w:p w14:paraId="32CDECD1" w14:textId="77777777" w:rsidR="001C42C4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003366"/>
          <w:sz w:val="28"/>
          <w:szCs w:val="28"/>
        </w:rPr>
        <w:t>Priority 3 — Industry Fit (15%)</w:t>
      </w:r>
    </w:p>
    <w:p w14:paraId="32CDECD2" w14:textId="77777777" w:rsidR="001C42C4" w:rsidRDefault="00000000">
      <w:pPr>
        <w:spacing w:before="40" w:after="80"/>
      </w:pPr>
      <w:r>
        <w:rPr>
          <w:rFonts w:ascii="Arial" w:eastAsia="Arial" w:hAnsi="Arial" w:cs="Arial"/>
        </w:rPr>
        <w:t xml:space="preserve">Scores are pulled from the </w:t>
      </w:r>
      <w:proofErr w:type="gramStart"/>
      <w:r>
        <w:rPr>
          <w:rFonts w:ascii="Arial" w:eastAsia="Arial" w:hAnsi="Arial" w:cs="Arial"/>
        </w:rPr>
        <w:t>Industry</w:t>
      </w:r>
      <w:proofErr w:type="gramEnd"/>
      <w:r>
        <w:rPr>
          <w:rFonts w:ascii="Arial" w:eastAsia="Arial" w:hAnsi="Arial" w:cs="Arial"/>
        </w:rPr>
        <w:t xml:space="preserve"> × Product Matrix. Product selection is applied as a hard gate before scoring — EXCLUDE industries are removed from results at both Pass 1 and Pass 2 (client-side enforcement). Sub-vertical override rules apply when Salesforce industry data is too broad.</w:t>
      </w:r>
    </w:p>
    <w:p w14:paraId="32CDECD3" w14:textId="77777777" w:rsidR="001C42C4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003366"/>
          <w:sz w:val="28"/>
          <w:szCs w:val="28"/>
        </w:rPr>
        <w:t>Priority 4 — Strategic Alignment (15%)</w:t>
      </w:r>
    </w:p>
    <w:p w14:paraId="32CDECD4" w14:textId="77777777" w:rsidR="001C42C4" w:rsidRDefault="00000000">
      <w:pPr>
        <w:spacing w:before="30" w:after="30"/>
      </w:pPr>
      <w:r>
        <w:rPr>
          <w:rFonts w:ascii="Arial" w:eastAsia="Arial" w:hAnsi="Arial" w:cs="Arial"/>
          <w:b/>
          <w:bCs/>
        </w:rPr>
        <w:t xml:space="preserve">Y (score 10): </w:t>
      </w:r>
      <w:r>
        <w:rPr>
          <w:rFonts w:ascii="Arial" w:eastAsia="Arial" w:hAnsi="Arial" w:cs="Arial"/>
        </w:rPr>
        <w:t>Company has publicly announced a matching strategic initiative</w:t>
      </w:r>
    </w:p>
    <w:p w14:paraId="32CDECD5" w14:textId="77777777" w:rsidR="001C42C4" w:rsidRDefault="00000000">
      <w:pPr>
        <w:spacing w:before="30" w:after="30"/>
      </w:pPr>
      <w:r>
        <w:rPr>
          <w:rFonts w:ascii="Arial" w:eastAsia="Arial" w:hAnsi="Arial" w:cs="Arial"/>
          <w:b/>
          <w:bCs/>
        </w:rPr>
        <w:t xml:space="preserve">? (score 5): </w:t>
      </w:r>
      <w:r>
        <w:rPr>
          <w:rFonts w:ascii="Arial" w:eastAsia="Arial" w:hAnsi="Arial" w:cs="Arial"/>
        </w:rPr>
        <w:t>Initiative mentioned but unclear or early-stage</w:t>
      </w:r>
    </w:p>
    <w:p w14:paraId="32CDECD6" w14:textId="77777777" w:rsidR="001C42C4" w:rsidRDefault="00000000">
      <w:pPr>
        <w:spacing w:before="30" w:after="30"/>
      </w:pPr>
      <w:r>
        <w:rPr>
          <w:rFonts w:ascii="Arial" w:eastAsia="Arial" w:hAnsi="Arial" w:cs="Arial"/>
          <w:b/>
          <w:bCs/>
        </w:rPr>
        <w:t xml:space="preserve">N (score 0): </w:t>
      </w:r>
      <w:r>
        <w:rPr>
          <w:rFonts w:ascii="Arial" w:eastAsia="Arial" w:hAnsi="Arial" w:cs="Arial"/>
        </w:rPr>
        <w:t>No strategic alignment signal found</w:t>
      </w:r>
    </w:p>
    <w:p w14:paraId="32CDECD7" w14:textId="77777777" w:rsidR="001C42C4" w:rsidRDefault="00000000">
      <w:pPr>
        <w:spacing w:before="40" w:after="80"/>
      </w:pPr>
      <w:r>
        <w:rPr>
          <w:rFonts w:ascii="Arial" w:eastAsia="Arial" w:hAnsi="Arial" w:cs="Arial"/>
        </w:rPr>
        <w:t xml:space="preserve">Matched initiatives: Digital transformation, ERP/CRM migration, M&amp;A integration, Compliance mandate (FDA/SOX/GDPR/HIPAA), Pricing modernization, Contract standardization, </w:t>
      </w:r>
      <w:proofErr w:type="spellStart"/>
      <w:r>
        <w:rPr>
          <w:rFonts w:ascii="Arial" w:eastAsia="Arial" w:hAnsi="Arial" w:cs="Arial"/>
        </w:rPr>
        <w:t>RevOps</w:t>
      </w:r>
      <w:proofErr w:type="spellEnd"/>
      <w:r>
        <w:rPr>
          <w:rFonts w:ascii="Arial" w:eastAsia="Arial" w:hAnsi="Arial" w:cs="Arial"/>
        </w:rPr>
        <w:t xml:space="preserve"> buildout, </w:t>
      </w:r>
      <w:proofErr w:type="spellStart"/>
      <w:r>
        <w:rPr>
          <w:rFonts w:ascii="Arial" w:eastAsia="Arial" w:hAnsi="Arial" w:cs="Arial"/>
        </w:rPr>
        <w:t>CoE</w:t>
      </w:r>
      <w:proofErr w:type="spellEnd"/>
      <w:r>
        <w:rPr>
          <w:rFonts w:ascii="Arial" w:eastAsia="Arial" w:hAnsi="Arial" w:cs="Arial"/>
        </w:rPr>
        <w:t xml:space="preserve"> establishment, Sales process automation, </w:t>
      </w:r>
      <w:proofErr w:type="gramStart"/>
      <w:r>
        <w:rPr>
          <w:rFonts w:ascii="Arial" w:eastAsia="Arial" w:hAnsi="Arial" w:cs="Arial"/>
        </w:rPr>
        <w:t>International</w:t>
      </w:r>
      <w:proofErr w:type="gramEnd"/>
      <w:r>
        <w:rPr>
          <w:rFonts w:ascii="Arial" w:eastAsia="Arial" w:hAnsi="Arial" w:cs="Arial"/>
        </w:rPr>
        <w:t xml:space="preserve"> expansion, Operational efficiency, Customer experience transformation, Subscription model shift.</w:t>
      </w:r>
    </w:p>
    <w:p w14:paraId="32CDECD8" w14:textId="77777777" w:rsidR="001C42C4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003366"/>
          <w:sz w:val="28"/>
          <w:szCs w:val="28"/>
        </w:rPr>
        <w:t>Priority 5 — Business Model Fit (10%)</w:t>
      </w:r>
    </w:p>
    <w:p w14:paraId="32CDECD9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CLM: High = 1,000+ contracts/year | Medium = 500+/year</w:t>
      </w:r>
    </w:p>
    <w:p w14:paraId="32CDECDA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CPQ: High = 250+ quotes/month | Medium = 100+/month</w:t>
      </w:r>
    </w:p>
    <w:p w14:paraId="32CDECDB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proofErr w:type="spellStart"/>
      <w:r>
        <w:rPr>
          <w:rFonts w:ascii="Arial" w:eastAsia="Arial" w:hAnsi="Arial" w:cs="Arial"/>
        </w:rPr>
        <w:t>DocAuto</w:t>
      </w:r>
      <w:proofErr w:type="spellEnd"/>
      <w:r>
        <w:rPr>
          <w:rFonts w:ascii="Arial" w:eastAsia="Arial" w:hAnsi="Arial" w:cs="Arial"/>
        </w:rPr>
        <w:t xml:space="preserve">: High = 5,000+ docs or </w:t>
      </w:r>
      <w:proofErr w:type="spellStart"/>
      <w:r>
        <w:rPr>
          <w:rFonts w:ascii="Arial" w:eastAsia="Arial" w:hAnsi="Arial" w:cs="Arial"/>
        </w:rPr>
        <w:t>eSign</w:t>
      </w:r>
      <w:proofErr w:type="spellEnd"/>
      <w:r>
        <w:rPr>
          <w:rFonts w:ascii="Arial" w:eastAsia="Arial" w:hAnsi="Arial" w:cs="Arial"/>
        </w:rPr>
        <w:t>/month (requires Salesforce)</w:t>
      </w:r>
    </w:p>
    <w:p w14:paraId="32CDECDC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POM: High = 10,000+ legacy quotes or 10,000+ SKUs</w:t>
      </w:r>
    </w:p>
    <w:p w14:paraId="32CDECDD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Aime: 10,000+ contract repository + existing CLM in use</w:t>
      </w:r>
    </w:p>
    <w:p w14:paraId="32CDECDE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RLM: Multiple revenue streams (subscription + transactional + services)</w:t>
      </w:r>
    </w:p>
    <w:p w14:paraId="32CDECDF" w14:textId="77777777" w:rsidR="001C42C4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003366"/>
          <w:sz w:val="28"/>
          <w:szCs w:val="28"/>
        </w:rPr>
        <w:t>Priority 6 — Hiring Trends (5%)</w:t>
      </w:r>
    </w:p>
    <w:p w14:paraId="32CDECE0" w14:textId="77777777" w:rsidR="001C42C4" w:rsidRDefault="00000000">
      <w:pPr>
        <w:spacing w:before="40" w:after="80"/>
      </w:pPr>
      <w:r>
        <w:rPr>
          <w:rFonts w:ascii="Arial" w:eastAsia="Arial" w:hAnsi="Arial" w:cs="Arial"/>
        </w:rPr>
        <w:t>Positive signal when open roles or recent hires match the product-specific hiring signal map. Elevated to 7/10 if multiple relevant open roles found simultaneously.</w:t>
      </w:r>
    </w:p>
    <w:p w14:paraId="32CDECE1" w14:textId="77777777" w:rsidR="001C42C4" w:rsidRDefault="00000000">
      <w:r>
        <w:br w:type="page"/>
      </w:r>
    </w:p>
    <w:p w14:paraId="32CDECE2" w14:textId="77777777" w:rsidR="001C42C4" w:rsidRDefault="00000000">
      <w:pPr>
        <w:pBdr>
          <w:bottom w:val="single" w:sz="6" w:space="4" w:color="0066CC"/>
        </w:pBdr>
        <w:spacing w:before="400" w:after="120"/>
      </w:pPr>
      <w:r>
        <w:rPr>
          <w:rFonts w:ascii="Arial" w:eastAsia="Arial" w:hAnsi="Arial" w:cs="Arial"/>
          <w:b/>
          <w:bCs/>
          <w:color w:val="0066CC"/>
          <w:sz w:val="36"/>
          <w:szCs w:val="36"/>
        </w:rPr>
        <w:lastRenderedPageBreak/>
        <w:t>3. Signal Taxonomy</w:t>
      </w:r>
    </w:p>
    <w:p w14:paraId="32CDECE3" w14:textId="77777777" w:rsidR="001C42C4" w:rsidRDefault="00000000">
      <w:pPr>
        <w:spacing w:before="40" w:after="80"/>
      </w:pPr>
      <w:r>
        <w:rPr>
          <w:rFonts w:ascii="Arial" w:eastAsia="Arial" w:hAnsi="Arial" w:cs="Arial"/>
        </w:rPr>
        <w:t>Base scores represent the maximum signal strength. Multiply by the recency decay multiplier based on how long ago the signal occurred. Signals older than 24 months score 0 and are ignored.</w:t>
      </w:r>
    </w:p>
    <w:p w14:paraId="32CDECE4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Score 10 — Publicly announced transformation initiative (any form: digital, operational, commercial)</w:t>
      </w:r>
    </w:p>
    <w:p w14:paraId="32CDECE5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Score 10 — CRM or ERP migration / consolidation project</w:t>
      </w:r>
    </w:p>
    <w:p w14:paraId="32CDECE6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Score 10 — Recent FDA product pre-approval ← ALWAYS flags account for CLM</w:t>
      </w:r>
    </w:p>
    <w:p w14:paraId="32CDECE7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 xml:space="preserve">Score </w:t>
      </w:r>
      <w:proofErr w:type="gramStart"/>
      <w:r>
        <w:rPr>
          <w:rFonts w:ascii="Arial" w:eastAsia="Arial" w:hAnsi="Arial" w:cs="Arial"/>
        </w:rPr>
        <w:t>9  —</w:t>
      </w:r>
      <w:proofErr w:type="gramEnd"/>
      <w:r>
        <w:rPr>
          <w:rFonts w:ascii="Arial" w:eastAsia="Arial" w:hAnsi="Arial" w:cs="Arial"/>
        </w:rPr>
        <w:t xml:space="preserve"> Recent M&amp;A or funding round</w:t>
      </w:r>
    </w:p>
    <w:p w14:paraId="32CDECE8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 xml:space="preserve">Score </w:t>
      </w:r>
      <w:proofErr w:type="gramStart"/>
      <w:r>
        <w:rPr>
          <w:rFonts w:ascii="Arial" w:eastAsia="Arial" w:hAnsi="Arial" w:cs="Arial"/>
        </w:rPr>
        <w:t>9  —</w:t>
      </w:r>
      <w:proofErr w:type="gramEnd"/>
      <w:r>
        <w:rPr>
          <w:rFonts w:ascii="Arial" w:eastAsia="Arial" w:hAnsi="Arial" w:cs="Arial"/>
        </w:rPr>
        <w:t xml:space="preserve"> Recent FDA product approval ← ALWAYS flags account for CLM</w:t>
      </w:r>
    </w:p>
    <w:p w14:paraId="32CDECE9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 xml:space="preserve">Score </w:t>
      </w:r>
      <w:proofErr w:type="gramStart"/>
      <w:r>
        <w:rPr>
          <w:rFonts w:ascii="Arial" w:eastAsia="Arial" w:hAnsi="Arial" w:cs="Arial"/>
        </w:rPr>
        <w:t>8  —</w:t>
      </w:r>
      <w:proofErr w:type="gramEnd"/>
      <w:r>
        <w:rPr>
          <w:rFonts w:ascii="Arial" w:eastAsia="Arial" w:hAnsi="Arial" w:cs="Arial"/>
        </w:rPr>
        <w:t xml:space="preserve"> Recent hiring spree (10%+ headcount growth in 1 year)</w:t>
      </w:r>
    </w:p>
    <w:p w14:paraId="32CDECEA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 xml:space="preserve">Score </w:t>
      </w:r>
      <w:proofErr w:type="gramStart"/>
      <w:r>
        <w:rPr>
          <w:rFonts w:ascii="Arial" w:eastAsia="Arial" w:hAnsi="Arial" w:cs="Arial"/>
        </w:rPr>
        <w:t>8  —</w:t>
      </w:r>
      <w:proofErr w:type="gramEnd"/>
      <w:r>
        <w:rPr>
          <w:rFonts w:ascii="Arial" w:eastAsia="Arial" w:hAnsi="Arial" w:cs="Arial"/>
        </w:rPr>
        <w:t xml:space="preserve"> Recent C-suite hire (CEO, CFO, CRO, CLO, CPO, CPTO)</w:t>
      </w:r>
    </w:p>
    <w:p w14:paraId="32CDECEB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 xml:space="preserve">Score </w:t>
      </w:r>
      <w:proofErr w:type="gramStart"/>
      <w:r>
        <w:rPr>
          <w:rFonts w:ascii="Arial" w:eastAsia="Arial" w:hAnsi="Arial" w:cs="Arial"/>
        </w:rPr>
        <w:t>8  —</w:t>
      </w:r>
      <w:proofErr w:type="gramEnd"/>
      <w:r>
        <w:rPr>
          <w:rFonts w:ascii="Arial" w:eastAsia="Arial" w:hAnsi="Arial" w:cs="Arial"/>
        </w:rPr>
        <w:t xml:space="preserve"> News citing revenue leakage, contract dispute, missed renewal, or billing error</w:t>
      </w:r>
    </w:p>
    <w:p w14:paraId="32CDECEC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 xml:space="preserve">Score </w:t>
      </w:r>
      <w:proofErr w:type="gramStart"/>
      <w:r>
        <w:rPr>
          <w:rFonts w:ascii="Arial" w:eastAsia="Arial" w:hAnsi="Arial" w:cs="Arial"/>
        </w:rPr>
        <w:t>7  —</w:t>
      </w:r>
      <w:proofErr w:type="gramEnd"/>
      <w:r>
        <w:rPr>
          <w:rFonts w:ascii="Arial" w:eastAsia="Arial" w:hAnsi="Arial" w:cs="Arial"/>
        </w:rPr>
        <w:t xml:space="preserve"> New relevant VP hire (product-specific — see hiring map)</w:t>
      </w:r>
    </w:p>
    <w:p w14:paraId="32CDECED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 xml:space="preserve">Score </w:t>
      </w:r>
      <w:proofErr w:type="gramStart"/>
      <w:r>
        <w:rPr>
          <w:rFonts w:ascii="Arial" w:eastAsia="Arial" w:hAnsi="Arial" w:cs="Arial"/>
        </w:rPr>
        <w:t>7  —</w:t>
      </w:r>
      <w:proofErr w:type="gramEnd"/>
      <w:r>
        <w:rPr>
          <w:rFonts w:ascii="Arial" w:eastAsia="Arial" w:hAnsi="Arial" w:cs="Arial"/>
        </w:rPr>
        <w:t xml:space="preserve"> News citing growth, new markets, expansion, or rapid scale</w:t>
      </w:r>
    </w:p>
    <w:p w14:paraId="32CDECEE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 xml:space="preserve">Score </w:t>
      </w:r>
      <w:proofErr w:type="gramStart"/>
      <w:r>
        <w:rPr>
          <w:rFonts w:ascii="Arial" w:eastAsia="Arial" w:hAnsi="Arial" w:cs="Arial"/>
        </w:rPr>
        <w:t>7  —</w:t>
      </w:r>
      <w:proofErr w:type="gramEnd"/>
      <w:r>
        <w:rPr>
          <w:rFonts w:ascii="Arial" w:eastAsia="Arial" w:hAnsi="Arial" w:cs="Arial"/>
        </w:rPr>
        <w:t xml:space="preserve"> Earnings call or 10-K citing digital transformation, margin expansion, customer experience</w:t>
      </w:r>
    </w:p>
    <w:p w14:paraId="32CDECEF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 xml:space="preserve">Score </w:t>
      </w:r>
      <w:proofErr w:type="gramStart"/>
      <w:r>
        <w:rPr>
          <w:rFonts w:ascii="Arial" w:eastAsia="Arial" w:hAnsi="Arial" w:cs="Arial"/>
        </w:rPr>
        <w:t>6  —</w:t>
      </w:r>
      <w:proofErr w:type="gramEnd"/>
      <w:r>
        <w:rPr>
          <w:rFonts w:ascii="Arial" w:eastAsia="Arial" w:hAnsi="Arial" w:cs="Arial"/>
        </w:rPr>
        <w:t xml:space="preserve"> Verified Salesforce CRM usage (</w:t>
      </w:r>
      <w:proofErr w:type="spellStart"/>
      <w:r>
        <w:rPr>
          <w:rFonts w:ascii="Arial" w:eastAsia="Arial" w:hAnsi="Arial" w:cs="Arial"/>
        </w:rPr>
        <w:t>BuiltWith</w:t>
      </w:r>
      <w:proofErr w:type="spellEnd"/>
      <w:r>
        <w:rPr>
          <w:rFonts w:ascii="Arial" w:eastAsia="Arial" w:hAnsi="Arial" w:cs="Arial"/>
        </w:rPr>
        <w:t>, HG Insights, or LinkedIn)</w:t>
      </w:r>
    </w:p>
    <w:p w14:paraId="32CDECF0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 xml:space="preserve">Score </w:t>
      </w:r>
      <w:proofErr w:type="gramStart"/>
      <w:r>
        <w:rPr>
          <w:rFonts w:ascii="Arial" w:eastAsia="Arial" w:hAnsi="Arial" w:cs="Arial"/>
        </w:rPr>
        <w:t>6  —</w:t>
      </w:r>
      <w:proofErr w:type="gramEnd"/>
      <w:r>
        <w:rPr>
          <w:rFonts w:ascii="Arial" w:eastAsia="Arial" w:hAnsi="Arial" w:cs="Arial"/>
        </w:rPr>
        <w:t xml:space="preserve"> Glassdoor reviews mentioning contracts are a mess / quoting is manual / legal slows everything</w:t>
      </w:r>
    </w:p>
    <w:p w14:paraId="32CDECF1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 xml:space="preserve">Score </w:t>
      </w:r>
      <w:proofErr w:type="gramStart"/>
      <w:r>
        <w:rPr>
          <w:rFonts w:ascii="Arial" w:eastAsia="Arial" w:hAnsi="Arial" w:cs="Arial"/>
        </w:rPr>
        <w:t>6  —</w:t>
      </w:r>
      <w:proofErr w:type="gramEnd"/>
      <w:r>
        <w:rPr>
          <w:rFonts w:ascii="Arial" w:eastAsia="Arial" w:hAnsi="Arial" w:cs="Arial"/>
        </w:rPr>
        <w:t xml:space="preserve"> LinkedIn post from Sales Ops or Legal Ops leader discussing process pain or tooling gaps</w:t>
      </w:r>
    </w:p>
    <w:p w14:paraId="32CDECF2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 xml:space="preserve">Score </w:t>
      </w:r>
      <w:proofErr w:type="gramStart"/>
      <w:r>
        <w:rPr>
          <w:rFonts w:ascii="Arial" w:eastAsia="Arial" w:hAnsi="Arial" w:cs="Arial"/>
        </w:rPr>
        <w:t>5  —</w:t>
      </w:r>
      <w:proofErr w:type="gramEnd"/>
      <w:r>
        <w:rPr>
          <w:rFonts w:ascii="Arial" w:eastAsia="Arial" w:hAnsi="Arial" w:cs="Arial"/>
        </w:rPr>
        <w:t xml:space="preserve"> Job postings in relevant fields (per product hiring map)</w:t>
      </w:r>
    </w:p>
    <w:p w14:paraId="32CDECF3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 xml:space="preserve">Score </w:t>
      </w:r>
      <w:proofErr w:type="gramStart"/>
      <w:r>
        <w:rPr>
          <w:rFonts w:ascii="Arial" w:eastAsia="Arial" w:hAnsi="Arial" w:cs="Arial"/>
        </w:rPr>
        <w:t>5  —</w:t>
      </w:r>
      <w:proofErr w:type="gramEnd"/>
      <w:r>
        <w:rPr>
          <w:rFonts w:ascii="Arial" w:eastAsia="Arial" w:hAnsi="Arial" w:cs="Arial"/>
        </w:rPr>
        <w:t xml:space="preserve"> Rapid international expansion (new country offices, foreign entity filings)</w:t>
      </w:r>
    </w:p>
    <w:p w14:paraId="32CDECF4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 xml:space="preserve">Score </w:t>
      </w:r>
      <w:proofErr w:type="gramStart"/>
      <w:r>
        <w:rPr>
          <w:rFonts w:ascii="Arial" w:eastAsia="Arial" w:hAnsi="Arial" w:cs="Arial"/>
        </w:rPr>
        <w:t>5  —</w:t>
      </w:r>
      <w:proofErr w:type="gramEnd"/>
      <w:r>
        <w:rPr>
          <w:rFonts w:ascii="Arial" w:eastAsia="Arial" w:hAnsi="Arial" w:cs="Arial"/>
        </w:rPr>
        <w:t xml:space="preserve"> Conference speaker on contract automation, scaling revenue ops, or CLM strategy</w:t>
      </w:r>
    </w:p>
    <w:p w14:paraId="32CDECF5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 xml:space="preserve">Score </w:t>
      </w:r>
      <w:proofErr w:type="gramStart"/>
      <w:r>
        <w:rPr>
          <w:rFonts w:ascii="Arial" w:eastAsia="Arial" w:hAnsi="Arial" w:cs="Arial"/>
        </w:rPr>
        <w:t>5  —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BuiltWith</w:t>
      </w:r>
      <w:proofErr w:type="spellEnd"/>
      <w:r>
        <w:rPr>
          <w:rFonts w:ascii="Arial" w:eastAsia="Arial" w:hAnsi="Arial" w:cs="Arial"/>
        </w:rPr>
        <w:t xml:space="preserve"> / HG Insights confirms Salesforce as CRM</w:t>
      </w:r>
    </w:p>
    <w:p w14:paraId="32CDECF6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 xml:space="preserve">Score </w:t>
      </w:r>
      <w:proofErr w:type="gramStart"/>
      <w:r>
        <w:rPr>
          <w:rFonts w:ascii="Arial" w:eastAsia="Arial" w:hAnsi="Arial" w:cs="Arial"/>
        </w:rPr>
        <w:t>5  —</w:t>
      </w:r>
      <w:proofErr w:type="gramEnd"/>
      <w:r>
        <w:rPr>
          <w:rFonts w:ascii="Arial" w:eastAsia="Arial" w:hAnsi="Arial" w:cs="Arial"/>
        </w:rPr>
        <w:t xml:space="preserve"> LinkedIn shows Legal, Finance, and Sales all listed as large departments</w:t>
      </w:r>
    </w:p>
    <w:p w14:paraId="32CDECF7" w14:textId="77777777" w:rsidR="001C42C4" w:rsidRDefault="00000000">
      <w:r>
        <w:br w:type="page"/>
      </w:r>
    </w:p>
    <w:p w14:paraId="32CDECF8" w14:textId="77777777" w:rsidR="001C42C4" w:rsidRDefault="00000000">
      <w:pPr>
        <w:pBdr>
          <w:bottom w:val="single" w:sz="6" w:space="4" w:color="0066CC"/>
        </w:pBdr>
        <w:spacing w:before="400" w:after="120"/>
      </w:pPr>
      <w:r>
        <w:rPr>
          <w:rFonts w:ascii="Arial" w:eastAsia="Arial" w:hAnsi="Arial" w:cs="Arial"/>
          <w:b/>
          <w:bCs/>
          <w:color w:val="0066CC"/>
          <w:sz w:val="36"/>
          <w:szCs w:val="36"/>
        </w:rPr>
        <w:lastRenderedPageBreak/>
        <w:t>4. Industry × Product Score Matrix</w:t>
      </w:r>
    </w:p>
    <w:p w14:paraId="32CDECF9" w14:textId="77777777" w:rsidR="001C42C4" w:rsidRDefault="00000000">
      <w:pPr>
        <w:spacing w:before="40" w:after="80"/>
      </w:pPr>
      <w:r>
        <w:rPr>
          <w:rFonts w:ascii="Arial" w:eastAsia="Arial" w:hAnsi="Arial" w:cs="Arial"/>
          <w:b/>
          <w:bCs/>
        </w:rPr>
        <w:t xml:space="preserve">Color key: </w:t>
      </w:r>
    </w:p>
    <w:p w14:paraId="32CDECFA" w14:textId="77777777" w:rsidR="001C42C4" w:rsidRDefault="00000000">
      <w:pPr>
        <w:spacing w:before="60" w:after="120"/>
      </w:pPr>
      <w:r>
        <w:rPr>
          <w:rFonts w:ascii="Arial" w:eastAsia="Arial" w:hAnsi="Arial" w:cs="Arial"/>
          <w:b/>
          <w:bCs/>
          <w:color w:val="FFFFFF"/>
          <w:sz w:val="18"/>
          <w:szCs w:val="18"/>
          <w:highlight w:val="red"/>
        </w:rPr>
        <w:t xml:space="preserve">  EXCLUDE  </w:t>
      </w:r>
      <w:r>
        <w:rPr>
          <w:rFonts w:ascii="Arial" w:eastAsia="Arial" w:hAnsi="Arial" w:cs="Arial"/>
          <w:sz w:val="18"/>
          <w:szCs w:val="18"/>
        </w:rPr>
        <w:t xml:space="preserve">  8–10 = Strong Fit    5–7 = Moderate    3–4 = Weak    1–2 = Avoid 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0"/>
        <w:gridCol w:w="1095"/>
        <w:gridCol w:w="1095"/>
        <w:gridCol w:w="1095"/>
        <w:gridCol w:w="1095"/>
        <w:gridCol w:w="1095"/>
        <w:gridCol w:w="1095"/>
      </w:tblGrid>
      <w:tr w:rsidR="001C42C4" w14:paraId="32CDED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CFB" w14:textId="77777777" w:rsidR="001C42C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Industry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CFC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CLM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CFD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CPQ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CFE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POM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CFF" w14:textId="77777777" w:rsidR="001C42C4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DocAuto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00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Aime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01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RLM</w:t>
            </w:r>
          </w:p>
        </w:tc>
      </w:tr>
      <w:tr w:rsidR="001C42C4" w14:paraId="32CDED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03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Hospital Systems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04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EXCL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05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EXCL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06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EXCL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07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EXCL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08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EXCL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09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EXCL</w:t>
            </w:r>
          </w:p>
        </w:tc>
      </w:tr>
      <w:tr w:rsidR="001C42C4" w14:paraId="32CDED1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0B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HLS — Pharma &amp; Biotech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0C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0D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0E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0F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10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11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1C42C4" w14:paraId="32CDED1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13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HLS — Medical Device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14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15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16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17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18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19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1C42C4" w14:paraId="32CDED2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1B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HLS — Payers &amp; Health Insurance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1C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1D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1E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1F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20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21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1C42C4" w14:paraId="32CDED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23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HLS — Healthcare Services &amp; SaaS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24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25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26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27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28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29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1C42C4" w14:paraId="32CDED3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2B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SaaS / Technology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2C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2D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2E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2F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30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31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</w:tr>
      <w:tr w:rsidR="001C42C4" w14:paraId="32CDED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33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IT Services &amp; Consulting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34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35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36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37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38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39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1C42C4" w14:paraId="32CDED4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3B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FinServ — Banking &amp; Investment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3C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3D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3E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3F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40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41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1C42C4" w14:paraId="32CDED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43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FinServ — Insurance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44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45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46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47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48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49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1C42C4" w14:paraId="32CDED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4B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Manufacturing — General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4C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4D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4E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4F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50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51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1C42C4" w14:paraId="32CDED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53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Manufacturing — Chemical &amp; Industrial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54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55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56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57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58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59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1C42C4" w14:paraId="32CDED6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5B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Wholesale &amp; Distribution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5C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5D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5E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5F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60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61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1C42C4" w14:paraId="32CDED6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63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Building Materials &amp; Construction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64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65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66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67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68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69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1C42C4" w14:paraId="32CDED7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6B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Food &amp; Beverage / Consumer Goods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6C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6D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6E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6F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70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71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1C42C4" w14:paraId="32CDED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73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Cargo &amp; Logistics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74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75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76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77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78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79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1C42C4" w14:paraId="32CDED8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7B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Telecom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7C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7D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7E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7F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80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81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</w:tr>
      <w:tr w:rsidR="001C42C4" w14:paraId="32CDED8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83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Energy / Oil &amp; Gas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84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85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86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87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88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89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1C42C4" w14:paraId="32CDED9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8B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Professional Services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8C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8D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8E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8F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90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91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1C42C4" w14:paraId="32CDED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93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Retail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94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95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96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97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98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99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1C42C4" w14:paraId="32CDEDA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9B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Education &amp; Nonprofit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6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9C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6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9D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6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9E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9F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6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A0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6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A1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1C42C4" w14:paraId="32CDEDA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A3" w14:textId="77777777" w:rsidR="001C42C4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Government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A4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6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A5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6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A6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A7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6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A8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6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DEDA9" w14:textId="77777777" w:rsidR="001C42C4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</w:tr>
    </w:tbl>
    <w:p w14:paraId="32CDEDAB" w14:textId="77777777" w:rsidR="001C42C4" w:rsidRDefault="00000000">
      <w:pPr>
        <w:pBdr>
          <w:bottom w:val="single" w:sz="6" w:space="4" w:color="0066CC"/>
        </w:pBdr>
        <w:spacing w:before="400" w:after="120"/>
      </w:pPr>
      <w:r>
        <w:rPr>
          <w:rFonts w:ascii="Arial" w:eastAsia="Arial" w:hAnsi="Arial" w:cs="Arial"/>
          <w:b/>
          <w:bCs/>
          <w:color w:val="0066CC"/>
          <w:sz w:val="36"/>
          <w:szCs w:val="36"/>
        </w:rPr>
        <w:t>5. Sub-Vertical Override Rules</w:t>
      </w:r>
    </w:p>
    <w:p w14:paraId="32CDEDAC" w14:textId="77777777" w:rsidR="001C42C4" w:rsidRDefault="00000000">
      <w:pPr>
        <w:spacing w:before="40" w:after="80"/>
      </w:pPr>
      <w:r>
        <w:rPr>
          <w:rFonts w:ascii="Arial" w:eastAsia="Arial" w:hAnsi="Arial" w:cs="Arial"/>
        </w:rPr>
        <w:t>Salesforce industry data is often too broad or incorrect. These overrides apply before matrix scoring:</w:t>
      </w:r>
    </w:p>
    <w:p w14:paraId="32CDEDAD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'Pharmaceutical Manufacturing' in Salesforce → Use HLS — Pharma &amp; Biotech scores (not general Manufacturing)</w:t>
      </w:r>
    </w:p>
    <w:p w14:paraId="32CDEDAE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'Medical Device Manufacturing' → Use HLS — Medical Device scores</w:t>
      </w:r>
    </w:p>
    <w:p w14:paraId="32CDEDAF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'Biotech / Life Sciences R&amp;D' → Use HLS — Pharma &amp; Biotech scores</w:t>
      </w:r>
    </w:p>
    <w:p w14:paraId="32CDEDB0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SaaS company in healthcare space → Use SaaS / Technology scores (not HLS)</w:t>
      </w:r>
    </w:p>
    <w:p w14:paraId="32CDEDB1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>'IT Services &amp; Consulting' → Use IT Services scores (NOT SaaS/Technology scores)</w:t>
      </w:r>
    </w:p>
    <w:p w14:paraId="32CDEDB2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 xml:space="preserve">'Investment Banking' → CLM=9, </w:t>
      </w:r>
      <w:proofErr w:type="spellStart"/>
      <w:r>
        <w:rPr>
          <w:rFonts w:ascii="Arial" w:eastAsia="Arial" w:hAnsi="Arial" w:cs="Arial"/>
        </w:rPr>
        <w:t>DocAuto</w:t>
      </w:r>
      <w:proofErr w:type="spellEnd"/>
      <w:r>
        <w:rPr>
          <w:rFonts w:ascii="Arial" w:eastAsia="Arial" w:hAnsi="Arial" w:cs="Arial"/>
        </w:rPr>
        <w:t>=9 override</w:t>
      </w:r>
    </w:p>
    <w:p w14:paraId="32CDEDB3" w14:textId="77777777" w:rsidR="001C42C4" w:rsidRDefault="00000000">
      <w:pPr>
        <w:pStyle w:val="ListParagraph"/>
        <w:numPr>
          <w:ilvl w:val="0"/>
          <w:numId w:val="1"/>
        </w:numPr>
        <w:spacing w:before="20" w:after="40"/>
      </w:pPr>
      <w:r>
        <w:rPr>
          <w:rFonts w:ascii="Arial" w:eastAsia="Arial" w:hAnsi="Arial" w:cs="Arial"/>
        </w:rPr>
        <w:t xml:space="preserve">Home warranty / disaster remediation → </w:t>
      </w:r>
      <w:proofErr w:type="spellStart"/>
      <w:r>
        <w:rPr>
          <w:rFonts w:ascii="Arial" w:eastAsia="Arial" w:hAnsi="Arial" w:cs="Arial"/>
        </w:rPr>
        <w:t>DocAuto</w:t>
      </w:r>
      <w:proofErr w:type="spellEnd"/>
      <w:r>
        <w:rPr>
          <w:rFonts w:ascii="Arial" w:eastAsia="Arial" w:hAnsi="Arial" w:cs="Arial"/>
        </w:rPr>
        <w:t>=9 override</w:t>
      </w:r>
    </w:p>
    <w:p w14:paraId="32CDEDB4" w14:textId="77777777" w:rsidR="001C42C4" w:rsidRDefault="00000000">
      <w:r>
        <w:br w:type="page"/>
      </w:r>
    </w:p>
    <w:p w14:paraId="32CDEDB5" w14:textId="77777777" w:rsidR="001C42C4" w:rsidRDefault="00000000">
      <w:pPr>
        <w:pBdr>
          <w:bottom w:val="single" w:sz="6" w:space="4" w:color="0066CC"/>
        </w:pBdr>
        <w:spacing w:before="400" w:after="120"/>
      </w:pPr>
      <w:r>
        <w:rPr>
          <w:rFonts w:ascii="Arial" w:eastAsia="Arial" w:hAnsi="Arial" w:cs="Arial"/>
          <w:b/>
          <w:bCs/>
          <w:color w:val="0066CC"/>
          <w:sz w:val="36"/>
          <w:szCs w:val="36"/>
        </w:rPr>
        <w:lastRenderedPageBreak/>
        <w:t>6. Hiring Signal Map</w:t>
      </w:r>
    </w:p>
    <w:p w14:paraId="32CDEDB6" w14:textId="77777777" w:rsidR="001C42C4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003366"/>
          <w:sz w:val="24"/>
          <w:szCs w:val="24"/>
        </w:rPr>
        <w:t>CLM</w:t>
      </w:r>
    </w:p>
    <w:p w14:paraId="32CDEDB7" w14:textId="77777777" w:rsidR="001C42C4" w:rsidRDefault="00000000">
      <w:pPr>
        <w:spacing w:before="40" w:after="80"/>
      </w:pPr>
      <w:r>
        <w:rPr>
          <w:rFonts w:ascii="Arial" w:eastAsia="Arial" w:hAnsi="Arial" w:cs="Arial"/>
        </w:rPr>
        <w:t>General Counsel, Chief Legal Officer, VP Legal, SVP Legal, Contract Manager, Paralegal, Legal Operations, Legal Ops, Revenue Operations</w:t>
      </w:r>
    </w:p>
    <w:p w14:paraId="32CDEDB8" w14:textId="77777777" w:rsidR="001C42C4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003366"/>
          <w:sz w:val="24"/>
          <w:szCs w:val="24"/>
        </w:rPr>
        <w:t>CPQ</w:t>
      </w:r>
    </w:p>
    <w:p w14:paraId="32CDEDB9" w14:textId="77777777" w:rsidR="001C42C4" w:rsidRDefault="00000000">
      <w:pPr>
        <w:spacing w:before="40" w:after="80"/>
      </w:pPr>
      <w:r>
        <w:rPr>
          <w:rFonts w:ascii="Arial" w:eastAsia="Arial" w:hAnsi="Arial" w:cs="Arial"/>
        </w:rPr>
        <w:t xml:space="preserve">VP/Director </w:t>
      </w:r>
      <w:proofErr w:type="spellStart"/>
      <w:r>
        <w:rPr>
          <w:rFonts w:ascii="Arial" w:eastAsia="Arial" w:hAnsi="Arial" w:cs="Arial"/>
        </w:rPr>
        <w:t>RevOps</w:t>
      </w:r>
      <w:proofErr w:type="spellEnd"/>
      <w:r>
        <w:rPr>
          <w:rFonts w:ascii="Arial" w:eastAsia="Arial" w:hAnsi="Arial" w:cs="Arial"/>
        </w:rPr>
        <w:t>, VP/Director Sales Engineering, Pricing Manager, Director Pricing, VP Pricing, Deal Desk Manager, Sales Operations</w:t>
      </w:r>
    </w:p>
    <w:p w14:paraId="32CDEDBA" w14:textId="77777777" w:rsidR="001C42C4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003366"/>
          <w:sz w:val="24"/>
          <w:szCs w:val="24"/>
        </w:rPr>
        <w:t>POM (Price Optimization)</w:t>
      </w:r>
    </w:p>
    <w:p w14:paraId="32CDEDBB" w14:textId="77777777" w:rsidR="001C42C4" w:rsidRDefault="00000000">
      <w:pPr>
        <w:spacing w:before="40" w:after="80"/>
      </w:pPr>
      <w:r>
        <w:rPr>
          <w:rFonts w:ascii="Arial" w:eastAsia="Arial" w:hAnsi="Arial" w:cs="Arial"/>
        </w:rPr>
        <w:t>VP/Director Pricing, Director Pricing Analytics, Pricing Analyst, Pricing Strategist, VP Revenue Management, Chief Pricing Officer</w:t>
      </w:r>
    </w:p>
    <w:p w14:paraId="32CDEDBC" w14:textId="77777777" w:rsidR="001C42C4" w:rsidRDefault="00000000">
      <w:pPr>
        <w:spacing w:before="200" w:after="60"/>
      </w:pPr>
      <w:proofErr w:type="spellStart"/>
      <w:r>
        <w:rPr>
          <w:rFonts w:ascii="Arial" w:eastAsia="Arial" w:hAnsi="Arial" w:cs="Arial"/>
          <w:b/>
          <w:bCs/>
          <w:color w:val="003366"/>
          <w:sz w:val="24"/>
          <w:szCs w:val="24"/>
        </w:rPr>
        <w:t>DocAuto</w:t>
      </w:r>
      <w:proofErr w:type="spellEnd"/>
    </w:p>
    <w:p w14:paraId="32CDEDBD" w14:textId="77777777" w:rsidR="001C42C4" w:rsidRDefault="00000000">
      <w:pPr>
        <w:spacing w:before="40" w:after="80"/>
      </w:pPr>
      <w:r>
        <w:rPr>
          <w:rFonts w:ascii="Arial" w:eastAsia="Arial" w:hAnsi="Arial" w:cs="Arial"/>
        </w:rPr>
        <w:t>VP Communications, Director Communications, Director Proposals, Proposal Manager, Proposal Specialist, RFP Manager, RFP Coordinator, Director Document Management</w:t>
      </w:r>
    </w:p>
    <w:p w14:paraId="32CDEDBE" w14:textId="77777777" w:rsidR="001C42C4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003366"/>
          <w:sz w:val="24"/>
          <w:szCs w:val="24"/>
        </w:rPr>
        <w:t>Aime</w:t>
      </w:r>
    </w:p>
    <w:p w14:paraId="32CDEDBF" w14:textId="77777777" w:rsidR="001C42C4" w:rsidRDefault="00000000">
      <w:pPr>
        <w:spacing w:before="40" w:after="80"/>
      </w:pPr>
      <w:r>
        <w:rPr>
          <w:rFonts w:ascii="Arial" w:eastAsia="Arial" w:hAnsi="Arial" w:cs="Arial"/>
        </w:rPr>
        <w:t>General Counsel, Chief Legal Officer, VP Legal, Legal Operations, Contract Intelligence, AI Legal, Contract Analytics</w:t>
      </w:r>
    </w:p>
    <w:p w14:paraId="32CDEDC0" w14:textId="77777777" w:rsidR="001C42C4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003366"/>
          <w:sz w:val="24"/>
          <w:szCs w:val="24"/>
        </w:rPr>
        <w:t xml:space="preserve">Transformation / </w:t>
      </w:r>
      <w:proofErr w:type="spellStart"/>
      <w:r>
        <w:rPr>
          <w:rFonts w:ascii="Arial" w:eastAsia="Arial" w:hAnsi="Arial" w:cs="Arial"/>
          <w:b/>
          <w:bCs/>
          <w:color w:val="003366"/>
          <w:sz w:val="24"/>
          <w:szCs w:val="24"/>
        </w:rPr>
        <w:t>CoE</w:t>
      </w:r>
      <w:proofErr w:type="spellEnd"/>
      <w:r>
        <w:rPr>
          <w:rFonts w:ascii="Arial" w:eastAsia="Arial" w:hAnsi="Arial" w:cs="Arial"/>
          <w:b/>
          <w:bCs/>
          <w:color w:val="003366"/>
          <w:sz w:val="24"/>
          <w:szCs w:val="24"/>
        </w:rPr>
        <w:t xml:space="preserve"> (all products)</w:t>
      </w:r>
    </w:p>
    <w:p w14:paraId="32CDEDC1" w14:textId="77777777" w:rsidR="001C42C4" w:rsidRDefault="00000000">
      <w:pPr>
        <w:spacing w:before="40" w:after="80"/>
      </w:pPr>
      <w:r>
        <w:rPr>
          <w:rFonts w:ascii="Arial" w:eastAsia="Arial" w:hAnsi="Arial" w:cs="Arial"/>
        </w:rPr>
        <w:t>Chief Transformation Officer, VP Digital, VP Digital Transformation, Director Center of Excellence, VP Transformation, VP Innovation, Director Innovation, Center of Excellence Lead, VP Operational Excellence</w:t>
      </w:r>
    </w:p>
    <w:p w14:paraId="32CDEDC2" w14:textId="77777777" w:rsidR="001C42C4" w:rsidRDefault="00000000">
      <w:pPr>
        <w:pBdr>
          <w:bottom w:val="single" w:sz="6" w:space="4" w:color="0066CC"/>
        </w:pBdr>
        <w:spacing w:before="400" w:after="120"/>
      </w:pPr>
      <w:r>
        <w:rPr>
          <w:rFonts w:ascii="Arial" w:eastAsia="Arial" w:hAnsi="Arial" w:cs="Arial"/>
          <w:b/>
          <w:bCs/>
          <w:color w:val="0066CC"/>
          <w:sz w:val="36"/>
          <w:szCs w:val="36"/>
        </w:rPr>
        <w:t>7. Where Files Live</w:t>
      </w:r>
    </w:p>
    <w:p w14:paraId="32CDEDC3" w14:textId="77777777" w:rsidR="001C42C4" w:rsidRDefault="00000000">
      <w:pPr>
        <w:spacing w:before="30" w:after="30"/>
      </w:pPr>
      <w:r>
        <w:rPr>
          <w:rFonts w:ascii="Arial" w:eastAsia="Arial" w:hAnsi="Arial" w:cs="Arial"/>
          <w:b/>
          <w:bCs/>
        </w:rPr>
        <w:t xml:space="preserve">Scoring engine JSON: </w:t>
      </w:r>
      <w:r>
        <w:rPr>
          <w:rFonts w:ascii="Arial" w:eastAsia="Arial" w:hAnsi="Arial" w:cs="Arial"/>
        </w:rPr>
        <w:t>/prospecting-agent/</w:t>
      </w:r>
      <w:proofErr w:type="spellStart"/>
      <w:r>
        <w:rPr>
          <w:rFonts w:ascii="Arial" w:eastAsia="Arial" w:hAnsi="Arial" w:cs="Arial"/>
        </w:rPr>
        <w:t>icp</w:t>
      </w:r>
      <w:proofErr w:type="spellEnd"/>
      <w:r>
        <w:rPr>
          <w:rFonts w:ascii="Arial" w:eastAsia="Arial" w:hAnsi="Arial" w:cs="Arial"/>
        </w:rPr>
        <w:t>-scoring-</w:t>
      </w:r>
      <w:proofErr w:type="spellStart"/>
      <w:r>
        <w:rPr>
          <w:rFonts w:ascii="Arial" w:eastAsia="Arial" w:hAnsi="Arial" w:cs="Arial"/>
        </w:rPr>
        <w:t>engine.json</w:t>
      </w:r>
      <w:proofErr w:type="spellEnd"/>
    </w:p>
    <w:p w14:paraId="32CDEDC4" w14:textId="77777777" w:rsidR="001C42C4" w:rsidRDefault="00000000">
      <w:pPr>
        <w:spacing w:before="30" w:after="30"/>
      </w:pPr>
      <w:r>
        <w:rPr>
          <w:rFonts w:ascii="Arial" w:eastAsia="Arial" w:hAnsi="Arial" w:cs="Arial"/>
          <w:b/>
          <w:bCs/>
        </w:rPr>
        <w:t xml:space="preserve">ICP product context: </w:t>
      </w:r>
      <w:r>
        <w:rPr>
          <w:rFonts w:ascii="Arial" w:eastAsia="Arial" w:hAnsi="Arial" w:cs="Arial"/>
        </w:rPr>
        <w:t>/prospecting-agent/</w:t>
      </w:r>
      <w:proofErr w:type="spellStart"/>
      <w:r>
        <w:rPr>
          <w:rFonts w:ascii="Arial" w:eastAsia="Arial" w:hAnsi="Arial" w:cs="Arial"/>
        </w:rPr>
        <w:t>icp-data.json</w:t>
      </w:r>
      <w:proofErr w:type="spellEnd"/>
    </w:p>
    <w:p w14:paraId="32CDEDC5" w14:textId="77777777" w:rsidR="001C42C4" w:rsidRDefault="00000000">
      <w:pPr>
        <w:spacing w:before="30" w:after="30"/>
      </w:pPr>
      <w:r>
        <w:rPr>
          <w:rFonts w:ascii="Arial" w:eastAsia="Arial" w:hAnsi="Arial" w:cs="Arial"/>
          <w:b/>
          <w:bCs/>
        </w:rPr>
        <w:t xml:space="preserve">Scoring prompts: </w:t>
      </w:r>
      <w:r>
        <w:rPr>
          <w:rFonts w:ascii="Arial" w:eastAsia="Arial" w:hAnsi="Arial" w:cs="Arial"/>
        </w:rPr>
        <w:t>/prospecting-agent/index.html (Pass 1 and Pass 2 sections)</w:t>
      </w:r>
    </w:p>
    <w:p w14:paraId="32CDEDC6" w14:textId="77777777" w:rsidR="001C42C4" w:rsidRDefault="00000000">
      <w:pPr>
        <w:spacing w:before="30" w:after="30"/>
      </w:pPr>
      <w:r>
        <w:rPr>
          <w:rFonts w:ascii="Arial" w:eastAsia="Arial" w:hAnsi="Arial" w:cs="Arial"/>
          <w:b/>
          <w:bCs/>
        </w:rPr>
        <w:t xml:space="preserve">Closed lost analysis: </w:t>
      </w:r>
      <w:r>
        <w:rPr>
          <w:rFonts w:ascii="Arial" w:eastAsia="Arial" w:hAnsi="Arial" w:cs="Arial"/>
        </w:rPr>
        <w:t>/prospecting-agent/</w:t>
      </w:r>
      <w:proofErr w:type="spellStart"/>
      <w:r>
        <w:rPr>
          <w:rFonts w:ascii="Arial" w:eastAsia="Arial" w:hAnsi="Arial" w:cs="Arial"/>
        </w:rPr>
        <w:t>closed_lost_analysis.json</w:t>
      </w:r>
      <w:proofErr w:type="spellEnd"/>
    </w:p>
    <w:p w14:paraId="32CDEDC7" w14:textId="77777777" w:rsidR="001C42C4" w:rsidRDefault="00000000">
      <w:pPr>
        <w:spacing w:before="30" w:after="30"/>
      </w:pPr>
      <w:r>
        <w:rPr>
          <w:rFonts w:ascii="Arial" w:eastAsia="Arial" w:hAnsi="Arial" w:cs="Arial"/>
          <w:b/>
          <w:bCs/>
        </w:rPr>
        <w:t xml:space="preserve">Excel matrix: </w:t>
      </w:r>
      <w:r>
        <w:rPr>
          <w:rFonts w:ascii="Arial" w:eastAsia="Arial" w:hAnsi="Arial" w:cs="Arial"/>
        </w:rPr>
        <w:t>/prospecting-agent/ICP_Scoring_Matrix.xlsx</w:t>
      </w:r>
    </w:p>
    <w:p w14:paraId="32CDEDC8" w14:textId="77777777" w:rsidR="001C42C4" w:rsidRDefault="00000000">
      <w:pPr>
        <w:spacing w:before="30" w:after="30"/>
      </w:pPr>
      <w:r>
        <w:rPr>
          <w:rFonts w:ascii="Arial" w:eastAsia="Arial" w:hAnsi="Arial" w:cs="Arial"/>
          <w:b/>
          <w:bCs/>
        </w:rPr>
        <w:t xml:space="preserve">This PDF: </w:t>
      </w:r>
      <w:r>
        <w:rPr>
          <w:rFonts w:ascii="Arial" w:eastAsia="Arial" w:hAnsi="Arial" w:cs="Arial"/>
        </w:rPr>
        <w:t>/prospecting-agent/ICP_Scoring_Strategy.pdf</w:t>
      </w:r>
    </w:p>
    <w:p w14:paraId="32CDEDC9" w14:textId="77777777" w:rsidR="001C42C4" w:rsidRDefault="00000000">
      <w:pPr>
        <w:spacing w:before="40" w:after="80"/>
      </w:pPr>
      <w:r>
        <w:rPr>
          <w:rFonts w:ascii="Arial" w:eastAsia="Arial" w:hAnsi="Arial" w:cs="Arial"/>
        </w:rPr>
        <w:t xml:space="preserve"> </w:t>
      </w:r>
    </w:p>
    <w:p w14:paraId="32CDEDCA" w14:textId="77777777" w:rsidR="001C42C4" w:rsidRDefault="00000000">
      <w:pPr>
        <w:spacing w:before="40" w:after="80"/>
      </w:pPr>
      <w:r>
        <w:rPr>
          <w:rFonts w:ascii="Arial" w:eastAsia="Arial" w:hAnsi="Arial" w:cs="Arial"/>
          <w:color w:val="555555"/>
        </w:rPr>
        <w:t xml:space="preserve">To update industry scores: Edit </w:t>
      </w:r>
      <w:proofErr w:type="spellStart"/>
      <w:r>
        <w:rPr>
          <w:rFonts w:ascii="Arial" w:eastAsia="Arial" w:hAnsi="Arial" w:cs="Arial"/>
          <w:color w:val="555555"/>
        </w:rPr>
        <w:t>icp</w:t>
      </w:r>
      <w:proofErr w:type="spellEnd"/>
      <w:r>
        <w:rPr>
          <w:rFonts w:ascii="Arial" w:eastAsia="Arial" w:hAnsi="Arial" w:cs="Arial"/>
          <w:color w:val="555555"/>
        </w:rPr>
        <w:t>-scoring-</w:t>
      </w:r>
      <w:proofErr w:type="spellStart"/>
      <w:proofErr w:type="gramStart"/>
      <w:r>
        <w:rPr>
          <w:rFonts w:ascii="Arial" w:eastAsia="Arial" w:hAnsi="Arial" w:cs="Arial"/>
          <w:color w:val="555555"/>
        </w:rPr>
        <w:t>engine.json</w:t>
      </w:r>
      <w:proofErr w:type="spellEnd"/>
      <w:proofErr w:type="gramEnd"/>
      <w:r>
        <w:rPr>
          <w:rFonts w:ascii="Arial" w:eastAsia="Arial" w:hAnsi="Arial" w:cs="Arial"/>
          <w:color w:val="555555"/>
        </w:rPr>
        <w:t xml:space="preserve"> (</w:t>
      </w:r>
      <w:proofErr w:type="spellStart"/>
      <w:r>
        <w:rPr>
          <w:rFonts w:ascii="Arial" w:eastAsia="Arial" w:hAnsi="Arial" w:cs="Arial"/>
          <w:color w:val="555555"/>
        </w:rPr>
        <w:t>industry_matrix</w:t>
      </w:r>
      <w:proofErr w:type="spellEnd"/>
      <w:r>
        <w:rPr>
          <w:rFonts w:ascii="Arial" w:eastAsia="Arial" w:hAnsi="Arial" w:cs="Arial"/>
          <w:color w:val="555555"/>
        </w:rPr>
        <w:t xml:space="preserve"> section) OR open ICP_Scoring_Matrix.xlsx and edit the Industry Matrix sheet. JSON changes take effect on next browser page load. The Excel is for human editing and review — copy updated scores back to the JSON to apply them in the agent.</w:t>
      </w:r>
    </w:p>
    <w:sectPr w:rsidR="001C42C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958A1" w14:textId="77777777" w:rsidR="00503FF2" w:rsidRDefault="00503FF2">
      <w:r>
        <w:separator/>
      </w:r>
    </w:p>
  </w:endnote>
  <w:endnote w:type="continuationSeparator" w:id="0">
    <w:p w14:paraId="113AC20B" w14:textId="77777777" w:rsidR="00503FF2" w:rsidRDefault="00503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DEDCC" w14:textId="5AF94B97" w:rsidR="001C42C4" w:rsidRDefault="00000000">
    <w:pPr>
      <w:jc w:val="center"/>
    </w:pPr>
    <w:r>
      <w:rPr>
        <w:rFonts w:ascii="Arial" w:eastAsia="Arial" w:hAnsi="Arial" w:cs="Arial"/>
        <w:color w:val="888888"/>
        <w:sz w:val="16"/>
        <w:szCs w:val="16"/>
      </w:rPr>
      <w:t xml:space="preserve">Confidential — Conga Internal Use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Only  |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A74CD2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7000E" w14:textId="77777777" w:rsidR="00503FF2" w:rsidRDefault="00503FF2">
      <w:r>
        <w:separator/>
      </w:r>
    </w:p>
  </w:footnote>
  <w:footnote w:type="continuationSeparator" w:id="0">
    <w:p w14:paraId="63D4DE75" w14:textId="77777777" w:rsidR="00503FF2" w:rsidRDefault="00503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DEDCB" w14:textId="77777777" w:rsidR="001C42C4" w:rsidRDefault="00000000">
    <w:pPr>
      <w:pBdr>
        <w:bottom w:val="single" w:sz="4" w:space="2" w:color="0066CC"/>
      </w:pBdr>
    </w:pPr>
    <w:r>
      <w:rPr>
        <w:rFonts w:ascii="Arial" w:eastAsia="Arial" w:hAnsi="Arial" w:cs="Arial"/>
        <w:color w:val="003366"/>
        <w:sz w:val="16"/>
        <w:szCs w:val="16"/>
      </w:rPr>
      <w:t xml:space="preserve">Conga + </w:t>
    </w:r>
    <w:proofErr w:type="gramStart"/>
    <w:r>
      <w:rPr>
        <w:rFonts w:ascii="Arial" w:eastAsia="Arial" w:hAnsi="Arial" w:cs="Arial"/>
        <w:color w:val="003366"/>
        <w:sz w:val="16"/>
        <w:szCs w:val="16"/>
      </w:rPr>
      <w:t>PROS  |</w:t>
    </w:r>
    <w:proofErr w:type="gramEnd"/>
    <w:r>
      <w:rPr>
        <w:rFonts w:ascii="Arial" w:eastAsia="Arial" w:hAnsi="Arial" w:cs="Arial"/>
        <w:color w:val="003366"/>
        <w:sz w:val="16"/>
        <w:szCs w:val="16"/>
      </w:rPr>
      <w:t xml:space="preserve">  ICP Scoring </w:t>
    </w:r>
    <w:proofErr w:type="gramStart"/>
    <w:r>
      <w:rPr>
        <w:rFonts w:ascii="Arial" w:eastAsia="Arial" w:hAnsi="Arial" w:cs="Arial"/>
        <w:color w:val="003366"/>
        <w:sz w:val="16"/>
        <w:szCs w:val="16"/>
      </w:rPr>
      <w:t>Strategy  |</w:t>
    </w:r>
    <w:proofErr w:type="gramEnd"/>
    <w:r>
      <w:rPr>
        <w:rFonts w:ascii="Arial" w:eastAsia="Arial" w:hAnsi="Arial" w:cs="Arial"/>
        <w:color w:val="003366"/>
        <w:sz w:val="16"/>
        <w:szCs w:val="16"/>
      </w:rPr>
      <w:t xml:space="preserve">  </w:t>
    </w:r>
    <w:proofErr w:type="gramStart"/>
    <w:r>
      <w:rPr>
        <w:rFonts w:ascii="Arial" w:eastAsia="Arial" w:hAnsi="Arial" w:cs="Arial"/>
        <w:color w:val="003366"/>
        <w:sz w:val="16"/>
        <w:szCs w:val="16"/>
      </w:rPr>
      <w:t>v1.1  |</w:t>
    </w:r>
    <w:proofErr w:type="gramEnd"/>
    <w:r>
      <w:rPr>
        <w:rFonts w:ascii="Arial" w:eastAsia="Arial" w:hAnsi="Arial" w:cs="Arial"/>
        <w:color w:val="003366"/>
        <w:sz w:val="16"/>
        <w:szCs w:val="16"/>
      </w:rPr>
      <w:t xml:space="preserve">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E7743"/>
    <w:multiLevelType w:val="hybridMultilevel"/>
    <w:tmpl w:val="283CEEEE"/>
    <w:lvl w:ilvl="0" w:tplc="BCFC9A98">
      <w:start w:val="1"/>
      <w:numFmt w:val="bullet"/>
      <w:lvlText w:val="●"/>
      <w:lvlJc w:val="left"/>
      <w:pPr>
        <w:ind w:left="720" w:hanging="360"/>
      </w:pPr>
    </w:lvl>
    <w:lvl w:ilvl="1" w:tplc="64906976">
      <w:start w:val="1"/>
      <w:numFmt w:val="bullet"/>
      <w:lvlText w:val="○"/>
      <w:lvlJc w:val="left"/>
      <w:pPr>
        <w:ind w:left="1440" w:hanging="360"/>
      </w:pPr>
    </w:lvl>
    <w:lvl w:ilvl="2" w:tplc="6CC41C6E">
      <w:start w:val="1"/>
      <w:numFmt w:val="bullet"/>
      <w:lvlText w:val="■"/>
      <w:lvlJc w:val="left"/>
      <w:pPr>
        <w:ind w:left="2160" w:hanging="360"/>
      </w:pPr>
    </w:lvl>
    <w:lvl w:ilvl="3" w:tplc="334C5C20">
      <w:start w:val="1"/>
      <w:numFmt w:val="bullet"/>
      <w:lvlText w:val="●"/>
      <w:lvlJc w:val="left"/>
      <w:pPr>
        <w:ind w:left="2880" w:hanging="360"/>
      </w:pPr>
    </w:lvl>
    <w:lvl w:ilvl="4" w:tplc="9754195A">
      <w:start w:val="1"/>
      <w:numFmt w:val="bullet"/>
      <w:lvlText w:val="○"/>
      <w:lvlJc w:val="left"/>
      <w:pPr>
        <w:ind w:left="3600" w:hanging="360"/>
      </w:pPr>
    </w:lvl>
    <w:lvl w:ilvl="5" w:tplc="01AA0E7E">
      <w:start w:val="1"/>
      <w:numFmt w:val="bullet"/>
      <w:lvlText w:val="■"/>
      <w:lvlJc w:val="left"/>
      <w:pPr>
        <w:ind w:left="4320" w:hanging="360"/>
      </w:pPr>
    </w:lvl>
    <w:lvl w:ilvl="6" w:tplc="5486F5EE">
      <w:start w:val="1"/>
      <w:numFmt w:val="bullet"/>
      <w:lvlText w:val="●"/>
      <w:lvlJc w:val="left"/>
      <w:pPr>
        <w:ind w:left="5040" w:hanging="360"/>
      </w:pPr>
    </w:lvl>
    <w:lvl w:ilvl="7" w:tplc="4D36836A">
      <w:start w:val="1"/>
      <w:numFmt w:val="bullet"/>
      <w:lvlText w:val="●"/>
      <w:lvlJc w:val="left"/>
      <w:pPr>
        <w:ind w:left="5760" w:hanging="360"/>
      </w:pPr>
    </w:lvl>
    <w:lvl w:ilvl="8" w:tplc="E4F89FF6">
      <w:start w:val="1"/>
      <w:numFmt w:val="bullet"/>
      <w:lvlText w:val="●"/>
      <w:lvlJc w:val="left"/>
      <w:pPr>
        <w:ind w:left="6480" w:hanging="360"/>
      </w:pPr>
    </w:lvl>
  </w:abstractNum>
  <w:num w:numId="1" w16cid:durableId="2132555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2C4"/>
    <w:rsid w:val="001C42C4"/>
    <w:rsid w:val="00503FF2"/>
    <w:rsid w:val="00A74CD2"/>
    <w:rsid w:val="00EB5D58"/>
    <w:rsid w:val="00F125EB"/>
    <w:rsid w:val="00F1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CDECB8"/>
  <w15:docId w15:val="{D798EAC7-975F-1E45-884B-1B6A07B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1255</Words>
  <Characters>6731</Characters>
  <Application>Microsoft Office Word</Application>
  <DocSecurity>0</DocSecurity>
  <Lines>292</Lines>
  <Paragraphs>285</Paragraphs>
  <ScaleCrop>false</ScaleCrop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Reeves Goepfert</cp:lastModifiedBy>
  <cp:revision>3</cp:revision>
  <dcterms:created xsi:type="dcterms:W3CDTF">2026-04-23T05:18:00Z</dcterms:created>
  <dcterms:modified xsi:type="dcterms:W3CDTF">2026-04-23T22:30:00Z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dccfee-01fd-4312-8033-43d18efb0b7c_Enabled">
    <vt:lpwstr>true</vt:lpwstr>
  </property>
  <property fmtid="{D5CDD505-2E9C-101B-9397-08002B2CF9AE}" pid="3" name="MSIP_Label_2edccfee-01fd-4312-8033-43d18efb0b7c_SetDate">
    <vt:lpwstr>2026-04-23T13:52:41Z</vt:lpwstr>
  </property>
  <property fmtid="{D5CDD505-2E9C-101B-9397-08002B2CF9AE}" pid="4" name="MSIP_Label_2edccfee-01fd-4312-8033-43d18efb0b7c_Method">
    <vt:lpwstr>Standard</vt:lpwstr>
  </property>
  <property fmtid="{D5CDD505-2E9C-101B-9397-08002B2CF9AE}" pid="5" name="MSIP_Label_2edccfee-01fd-4312-8033-43d18efb0b7c_Name">
    <vt:lpwstr>Internal Use - General</vt:lpwstr>
  </property>
  <property fmtid="{D5CDD505-2E9C-101B-9397-08002B2CF9AE}" pid="6" name="MSIP_Label_2edccfee-01fd-4312-8033-43d18efb0b7c_SiteId">
    <vt:lpwstr>3a41ae53-fb35-4431-be7b-a0b3e1aee3c0</vt:lpwstr>
  </property>
  <property fmtid="{D5CDD505-2E9C-101B-9397-08002B2CF9AE}" pid="7" name="MSIP_Label_2edccfee-01fd-4312-8033-43d18efb0b7c_ActionId">
    <vt:lpwstr>d69ca583-177b-42b8-8216-fce6056ff133</vt:lpwstr>
  </property>
  <property fmtid="{D5CDD505-2E9C-101B-9397-08002B2CF9AE}" pid="8" name="MSIP_Label_2edccfee-01fd-4312-8033-43d18efb0b7c_ContentBits">
    <vt:lpwstr>0</vt:lpwstr>
  </property>
  <property fmtid="{D5CDD505-2E9C-101B-9397-08002B2CF9AE}" pid="9" name="MSIP_Label_2edccfee-01fd-4312-8033-43d18efb0b7c_Tag">
    <vt:lpwstr>50, 3, 0, 1</vt:lpwstr>
  </property>
</Properties>
</file>