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0486" w14:textId="77777777" w:rsidR="00A81A9D" w:rsidRDefault="00000000">
      <w:pPr>
        <w:spacing w:before="960" w:after="80"/>
      </w:pPr>
      <w:r>
        <w:rPr>
          <w:b/>
          <w:bCs/>
          <w:color w:val="B8860B"/>
          <w:spacing w:val="160"/>
          <w:sz w:val="18"/>
          <w:szCs w:val="18"/>
        </w:rPr>
        <w:t>/ Z N I T H</w:t>
      </w:r>
    </w:p>
    <w:p w14:paraId="41B00487" w14:textId="77777777" w:rsidR="00A81A9D" w:rsidRDefault="00000000">
      <w:pPr>
        <w:spacing w:after="80"/>
      </w:pPr>
      <w:r>
        <w:rPr>
          <w:b/>
          <w:bCs/>
          <w:color w:val="1A2332"/>
          <w:sz w:val="72"/>
          <w:szCs w:val="72"/>
        </w:rPr>
        <w:t>Design Playbook</w:t>
      </w:r>
    </w:p>
    <w:p w14:paraId="41B00488" w14:textId="77777777" w:rsidR="00A81A9D" w:rsidRDefault="00000000">
      <w:pPr>
        <w:spacing w:after="80"/>
      </w:pPr>
      <w:r>
        <w:rPr>
          <w:i/>
          <w:iCs/>
          <w:color w:val="4A5568"/>
          <w:sz w:val="28"/>
          <w:szCs w:val="28"/>
        </w:rPr>
        <w:t>Brand, clarity, and user adoption principles</w:t>
      </w:r>
    </w:p>
    <w:p w14:paraId="41B00489" w14:textId="77777777" w:rsidR="00A81A9D" w:rsidRDefault="00000000">
      <w:r>
        <w:rPr>
          <w:color w:val="4A5568"/>
          <w:sz w:val="20"/>
          <w:szCs w:val="20"/>
        </w:rPr>
        <w:t xml:space="preserve">Version </w:t>
      </w:r>
      <w:proofErr w:type="gramStart"/>
      <w:r>
        <w:rPr>
          <w:color w:val="4A5568"/>
          <w:sz w:val="20"/>
          <w:szCs w:val="20"/>
        </w:rPr>
        <w:t>1.0  ·</w:t>
      </w:r>
      <w:proofErr w:type="gramEnd"/>
      <w:r>
        <w:rPr>
          <w:color w:val="4A5568"/>
          <w:sz w:val="20"/>
          <w:szCs w:val="20"/>
        </w:rPr>
        <w:t xml:space="preserve">  April 2026</w:t>
      </w:r>
    </w:p>
    <w:p w14:paraId="41B0048A" w14:textId="77777777" w:rsidR="00A81A9D" w:rsidRDefault="00000000">
      <w:pPr>
        <w:spacing w:before="40" w:after="1200"/>
      </w:pPr>
      <w:r>
        <w:rPr>
          <w:color w:val="4A5568"/>
          <w:sz w:val="20"/>
          <w:szCs w:val="20"/>
        </w:rPr>
        <w:t xml:space="preserve">Reeves </w:t>
      </w:r>
      <w:proofErr w:type="gramStart"/>
      <w:r>
        <w:rPr>
          <w:color w:val="4A5568"/>
          <w:sz w:val="20"/>
          <w:szCs w:val="20"/>
        </w:rPr>
        <w:t>Goepfert  ·</w:t>
      </w:r>
      <w:proofErr w:type="gramEnd"/>
      <w:r>
        <w:rPr>
          <w:color w:val="4A5568"/>
          <w:sz w:val="20"/>
          <w:szCs w:val="20"/>
        </w:rPr>
        <w:t xml:space="preserve">  Conga Sales Toolkit</w:t>
      </w:r>
    </w:p>
    <w:p w14:paraId="41B0048B" w14:textId="77777777" w:rsidR="00A81A9D" w:rsidRDefault="00A81A9D">
      <w:pPr>
        <w:pBdr>
          <w:bottom w:val="single" w:sz="4" w:space="1" w:color="B8860B"/>
        </w:pBdr>
        <w:spacing w:after="240"/>
      </w:pPr>
    </w:p>
    <w:p w14:paraId="41B0048C" w14:textId="77777777" w:rsidR="00A81A9D" w:rsidRDefault="00000000">
      <w:pPr>
        <w:spacing w:before="480" w:after="60"/>
      </w:pPr>
      <w:r>
        <w:rPr>
          <w:b/>
          <w:bCs/>
          <w:color w:val="B8860B"/>
          <w:spacing w:val="80"/>
          <w:sz w:val="16"/>
          <w:szCs w:val="16"/>
        </w:rPr>
        <w:t>INTRODUCTION</w:t>
      </w:r>
    </w:p>
    <w:p w14:paraId="41B0048D" w14:textId="77777777" w:rsidR="00A81A9D" w:rsidRDefault="00000000">
      <w:pPr>
        <w:pStyle w:val="Heading1"/>
      </w:pPr>
      <w:r>
        <w:t>Why This Document Exists</w:t>
      </w:r>
    </w:p>
    <w:p w14:paraId="41B0048E" w14:textId="77777777" w:rsidR="00A81A9D" w:rsidRDefault="00000000">
      <w:pPr>
        <w:spacing w:after="140"/>
      </w:pPr>
      <w:r>
        <w:t>You built something real. The /</w:t>
      </w:r>
      <w:proofErr w:type="spellStart"/>
      <w:r>
        <w:t>Znith</w:t>
      </w:r>
      <w:proofErr w:type="spellEnd"/>
      <w:r>
        <w:t xml:space="preserve"> toolkit is a suite of AI-powered sales tools that does the kind of work most sales orgs only dream about — and you built it yourself, inside Conga, for Conga. That deserves to be recognized.</w:t>
      </w:r>
    </w:p>
    <w:p w14:paraId="41B0048F" w14:textId="77777777" w:rsidR="00A81A9D" w:rsidRDefault="00000000">
      <w:pPr>
        <w:spacing w:after="140"/>
      </w:pPr>
      <w:r>
        <w:t>But recognition and clarity are two different things. This playbook is about both: how to brand /</w:t>
      </w:r>
      <w:proofErr w:type="spellStart"/>
      <w:r>
        <w:t>Znith</w:t>
      </w:r>
      <w:proofErr w:type="spellEnd"/>
      <w:r>
        <w:t xml:space="preserve"> in a way that earns credibility without performing it, and how to make the tools so clear and confident that people </w:t>
      </w:r>
      <w:proofErr w:type="gramStart"/>
      <w:r>
        <w:t>actually adopt</w:t>
      </w:r>
      <w:proofErr w:type="gramEnd"/>
      <w:r>
        <w:t xml:space="preserve"> them.</w:t>
      </w:r>
    </w:p>
    <w:p w14:paraId="41B00490" w14:textId="77777777" w:rsidR="00A81A9D" w:rsidRDefault="00000000">
      <w:pPr>
        <w:spacing w:after="140"/>
      </w:pPr>
      <w:r>
        <w:t>The v1 design system has real craft in it. The chamfered corners, the amber accent, the three-font hierarchy, the per-module color logic — these are not accidents. This playbook builds on that foundation while correcting the things that are working against you.</w:t>
      </w:r>
    </w:p>
    <w:p w14:paraId="41B00491" w14:textId="77777777" w:rsidR="00A81A9D" w:rsidRDefault="00A81A9D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"/>
        <w:gridCol w:w="9114"/>
      </w:tblGrid>
      <w:tr w:rsidR="00A81A9D" w14:paraId="41B0049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8" w:space="0" w:color="B8860B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41B00492" w14:textId="77777777" w:rsidR="00A81A9D" w:rsidRDefault="00A81A9D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B00493" w14:textId="77777777" w:rsidR="00A81A9D" w:rsidRDefault="00000000">
            <w:pPr>
              <w:spacing w:after="6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The core tension  </w:t>
            </w:r>
          </w:p>
          <w:p w14:paraId="41B00494" w14:textId="77777777" w:rsidR="00A81A9D" w:rsidRDefault="00000000">
            <w:r>
              <w:rPr>
                <w:sz w:val="20"/>
                <w:szCs w:val="20"/>
              </w:rPr>
              <w:t>Your current aesthetic signals 'developer terminal.' Your audience is sales reps and their managers. The goal is a design that feels premium and purposeful — not dark and technical.</w:t>
            </w:r>
          </w:p>
        </w:tc>
      </w:tr>
    </w:tbl>
    <w:p w14:paraId="41B00496" w14:textId="77777777" w:rsidR="00A81A9D" w:rsidRDefault="00A81A9D">
      <w:pPr>
        <w:spacing w:before="240"/>
      </w:pPr>
    </w:p>
    <w:p w14:paraId="41B00497" w14:textId="77777777" w:rsidR="00A81A9D" w:rsidRDefault="00000000">
      <w:r>
        <w:br w:type="page"/>
      </w:r>
    </w:p>
    <w:p w14:paraId="41B00498" w14:textId="77777777" w:rsidR="00A81A9D" w:rsidRDefault="00000000">
      <w:pPr>
        <w:spacing w:before="480" w:after="60"/>
      </w:pPr>
      <w:r>
        <w:rPr>
          <w:b/>
          <w:bCs/>
          <w:color w:val="B8860B"/>
          <w:spacing w:val="80"/>
          <w:sz w:val="16"/>
          <w:szCs w:val="16"/>
        </w:rPr>
        <w:lastRenderedPageBreak/>
        <w:t>SECTION 01</w:t>
      </w:r>
    </w:p>
    <w:p w14:paraId="41B00499" w14:textId="77777777" w:rsidR="00A81A9D" w:rsidRDefault="00000000">
      <w:pPr>
        <w:pStyle w:val="Heading1"/>
      </w:pPr>
      <w:r>
        <w:t>The /</w:t>
      </w:r>
      <w:proofErr w:type="spellStart"/>
      <w:r>
        <w:t>Znith</w:t>
      </w:r>
      <w:proofErr w:type="spellEnd"/>
      <w:r>
        <w:t xml:space="preserve"> Brand</w:t>
      </w:r>
    </w:p>
    <w:p w14:paraId="41B0049A" w14:textId="77777777" w:rsidR="00A81A9D" w:rsidRDefault="00000000">
      <w:pPr>
        <w:spacing w:after="140"/>
      </w:pPr>
      <w:r>
        <w:t>The slash-before-name convention is smart. It reads as a command, a protocol, a system — something built, not bought. It gives the suite a consistent identity across every tool without needing a logo or a lengthy explanation.</w:t>
      </w:r>
    </w:p>
    <w:p w14:paraId="41B0049B" w14:textId="77777777" w:rsidR="00A81A9D" w:rsidRDefault="00000000">
      <w:pPr>
        <w:spacing w:after="140"/>
      </w:pPr>
      <w:r>
        <w:t>The principle: /</w:t>
      </w:r>
      <w:proofErr w:type="spellStart"/>
      <w:r>
        <w:t>Znith</w:t>
      </w:r>
      <w:proofErr w:type="spellEnd"/>
      <w:r>
        <w:t xml:space="preserve"> shows up consistently and confidently in exactly three places. Everywhere else, it recedes.</w:t>
      </w:r>
    </w:p>
    <w:p w14:paraId="41B0049C" w14:textId="77777777" w:rsidR="00A81A9D" w:rsidRDefault="00A81A9D">
      <w:pPr>
        <w:spacing w:before="80"/>
      </w:pPr>
    </w:p>
    <w:p w14:paraId="41B0049D" w14:textId="77777777" w:rsidR="00A81A9D" w:rsidRDefault="00000000">
      <w:pPr>
        <w:pStyle w:val="Heading2"/>
      </w:pPr>
      <w:r>
        <w:t>Where the brand lives</w:t>
      </w:r>
    </w:p>
    <w:p w14:paraId="41B0049E" w14:textId="77777777" w:rsidR="00A81A9D" w:rsidRDefault="00000000">
      <w:pPr>
        <w:spacing w:after="140"/>
      </w:pPr>
      <w:r>
        <w:t xml:space="preserve">Branding earns trust by being where users expect it and invisible where they don't. Overbranding a tool makes it feel like an ad. </w:t>
      </w:r>
      <w:proofErr w:type="spellStart"/>
      <w:r>
        <w:t>Underbranding</w:t>
      </w:r>
      <w:proofErr w:type="spellEnd"/>
      <w:r>
        <w:t xml:space="preserve"> makes it feel like a prototype.</w:t>
      </w:r>
    </w:p>
    <w:p w14:paraId="41B0049F" w14:textId="77777777" w:rsidR="00A81A9D" w:rsidRDefault="00000000">
      <w:pPr>
        <w:spacing w:before="280" w:after="80"/>
      </w:pPr>
      <w:r>
        <w:rPr>
          <w:b/>
          <w:bCs/>
          <w:color w:val="1A2332"/>
          <w:sz w:val="24"/>
          <w:szCs w:val="24"/>
        </w:rPr>
        <w:t>The three placement rules</w:t>
      </w:r>
    </w:p>
    <w:p w14:paraId="41B004A0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The header wordmark — every tool starts with /</w:t>
      </w:r>
      <w:proofErr w:type="spellStart"/>
      <w:r>
        <w:t>Znith</w:t>
      </w:r>
      <w:proofErr w:type="spellEnd"/>
      <w:r>
        <w:t xml:space="preserve"> in the top-left. This is the only persistent brand element.</w:t>
      </w:r>
    </w:p>
    <w:p w14:paraId="41B004A1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The sticky footer — /</w:t>
      </w:r>
      <w:proofErr w:type="spellStart"/>
      <w:proofErr w:type="gramStart"/>
      <w:r>
        <w:t>Znith</w:t>
      </w:r>
      <w:proofErr w:type="spellEnd"/>
      <w:r>
        <w:t xml:space="preserve">  ·</w:t>
      </w:r>
      <w:proofErr w:type="gramEnd"/>
      <w:r>
        <w:t xml:space="preserve">  [Tool </w:t>
      </w:r>
      <w:proofErr w:type="gramStart"/>
      <w:r>
        <w:t>Name]  ·</w:t>
      </w:r>
      <w:proofErr w:type="gramEnd"/>
      <w:r>
        <w:t xml:space="preserve">  [Version] appears at the bottom of every page. It ties the suite together without interrupting the workflow.</w:t>
      </w:r>
    </w:p>
    <w:p w14:paraId="41B004A2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The first page heading — the tool name appears under the /</w:t>
      </w:r>
      <w:proofErr w:type="spellStart"/>
      <w:r>
        <w:t>Znith</w:t>
      </w:r>
      <w:proofErr w:type="spellEnd"/>
      <w:r>
        <w:t xml:space="preserve"> eyebrow on launch. After that, the brand is assumed and should not repeat.</w:t>
      </w:r>
    </w:p>
    <w:p w14:paraId="41B004A3" w14:textId="77777777" w:rsidR="00A81A9D" w:rsidRDefault="00A81A9D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"/>
        <w:gridCol w:w="9114"/>
      </w:tblGrid>
      <w:tr w:rsidR="00A81A9D" w14:paraId="41B004A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8" w:space="0" w:color="B8860B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41B004A4" w14:textId="77777777" w:rsidR="00A81A9D" w:rsidRDefault="00A81A9D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B004A5" w14:textId="77777777" w:rsidR="00A81A9D" w:rsidRDefault="00000000">
            <w:pPr>
              <w:spacing w:after="6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The rule of once  </w:t>
            </w:r>
          </w:p>
          <w:p w14:paraId="41B004A6" w14:textId="77777777" w:rsidR="00A81A9D" w:rsidRDefault="00000000">
            <w:r>
              <w:rPr>
                <w:sz w:val="20"/>
                <w:szCs w:val="20"/>
              </w:rPr>
              <w:t>If a user has already seen the /</w:t>
            </w:r>
            <w:proofErr w:type="spellStart"/>
            <w:r>
              <w:rPr>
                <w:sz w:val="20"/>
                <w:szCs w:val="20"/>
              </w:rPr>
              <w:t>Znith</w:t>
            </w:r>
            <w:proofErr w:type="spellEnd"/>
            <w:r>
              <w:rPr>
                <w:sz w:val="20"/>
                <w:szCs w:val="20"/>
              </w:rPr>
              <w:t xml:space="preserve"> wordmark, seeing it again on the same screen is noise. Brand every entry point, then trust the design to carry the identity.</w:t>
            </w:r>
          </w:p>
        </w:tc>
      </w:tr>
    </w:tbl>
    <w:p w14:paraId="41B004A8" w14:textId="77777777" w:rsidR="00A81A9D" w:rsidRDefault="00A81A9D">
      <w:pPr>
        <w:spacing w:before="200"/>
      </w:pPr>
    </w:p>
    <w:p w14:paraId="41B004A9" w14:textId="77777777" w:rsidR="00A81A9D" w:rsidRDefault="00000000">
      <w:pPr>
        <w:pStyle w:val="Heading2"/>
      </w:pPr>
      <w:r>
        <w:t>What the brand should feel like</w:t>
      </w:r>
    </w:p>
    <w:p w14:paraId="41B004AA" w14:textId="77777777" w:rsidR="00A81A9D" w:rsidRDefault="00000000">
      <w:pPr>
        <w:spacing w:after="140"/>
      </w:pPr>
      <w:r>
        <w:t xml:space="preserve">Think of how Figma, Linear, or Notion present themselves: the product is the brand. The logo appears </w:t>
      </w:r>
      <w:proofErr w:type="gramStart"/>
      <w:r>
        <w:t>once,</w:t>
      </w:r>
      <w:proofErr w:type="gramEnd"/>
      <w:r>
        <w:t xml:space="preserve"> the work fills the rest. /</w:t>
      </w:r>
      <w:proofErr w:type="spellStart"/>
      <w:r>
        <w:t>Znith</w:t>
      </w:r>
      <w:proofErr w:type="spellEnd"/>
      <w:r>
        <w:t xml:space="preserve"> should feel the same way — like a tool that is so well-made it doesn't need to announce itself constantly.</w:t>
      </w:r>
    </w:p>
    <w:p w14:paraId="41B004AB" w14:textId="77777777" w:rsidR="00A81A9D" w:rsidRDefault="00000000">
      <w:pPr>
        <w:spacing w:after="140"/>
      </w:pPr>
      <w:r>
        <w:t>The three words that should describe the /</w:t>
      </w:r>
      <w:proofErr w:type="spellStart"/>
      <w:r>
        <w:t>Znith</w:t>
      </w:r>
      <w:proofErr w:type="spellEnd"/>
      <w:r>
        <w:t xml:space="preserve"> experience:</w:t>
      </w:r>
    </w:p>
    <w:p w14:paraId="41B004AC" w14:textId="77777777" w:rsidR="00A81A9D" w:rsidRDefault="00A81A9D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81A9D" w14:paraId="41B004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single" w:sz="12" w:space="0" w:color="B8860B"/>
              <w:bottom w:val="none" w:sz="0" w:space="0" w:color="FFFFFF"/>
              <w:right w:val="none" w:sz="0" w:space="0" w:color="FFFFFF"/>
            </w:tcBorders>
            <w:shd w:val="clear" w:color="auto" w:fill="F4F5F6"/>
            <w:tcMar>
              <w:top w:w="180" w:type="dxa"/>
              <w:left w:w="200" w:type="dxa"/>
              <w:bottom w:w="180" w:type="dxa"/>
              <w:right w:w="120" w:type="dxa"/>
            </w:tcMar>
          </w:tcPr>
          <w:p w14:paraId="41B004AD" w14:textId="77777777" w:rsidR="00A81A9D" w:rsidRDefault="00000000">
            <w:pPr>
              <w:spacing w:after="60"/>
            </w:pPr>
            <w:r>
              <w:rPr>
                <w:b/>
                <w:bCs/>
                <w:color w:val="1A2332"/>
                <w:sz w:val="24"/>
                <w:szCs w:val="24"/>
              </w:rPr>
              <w:t>Confident</w:t>
            </w:r>
          </w:p>
          <w:p w14:paraId="41B004AE" w14:textId="77777777" w:rsidR="00A81A9D" w:rsidRDefault="00000000">
            <w:r>
              <w:rPr>
                <w:color w:val="4A5568"/>
                <w:sz w:val="18"/>
                <w:szCs w:val="18"/>
              </w:rPr>
              <w:t>The tool knows what it is doing. No hedging, no filler. Every element earns its place.</w:t>
            </w:r>
          </w:p>
        </w:tc>
        <w:tc>
          <w:tcPr>
            <w:tcW w:w="3120" w:type="dxa"/>
            <w:tcBorders>
              <w:top w:val="none" w:sz="0" w:space="0" w:color="FFFFFF"/>
              <w:left w:val="single" w:sz="12" w:space="0" w:color="B8860B"/>
              <w:bottom w:val="none" w:sz="0" w:space="0" w:color="FFFFFF"/>
              <w:right w:val="none" w:sz="0" w:space="0" w:color="FFFFFF"/>
            </w:tcBorders>
            <w:shd w:val="clear" w:color="auto" w:fill="F4F5F6"/>
            <w:tcMar>
              <w:top w:w="180" w:type="dxa"/>
              <w:left w:w="200" w:type="dxa"/>
              <w:bottom w:w="180" w:type="dxa"/>
              <w:right w:w="120" w:type="dxa"/>
            </w:tcMar>
          </w:tcPr>
          <w:p w14:paraId="41B004AF" w14:textId="77777777" w:rsidR="00A81A9D" w:rsidRDefault="00000000">
            <w:pPr>
              <w:spacing w:after="60"/>
            </w:pPr>
            <w:r>
              <w:rPr>
                <w:b/>
                <w:bCs/>
                <w:color w:val="1A2332"/>
                <w:sz w:val="24"/>
                <w:szCs w:val="24"/>
              </w:rPr>
              <w:t>Precise</w:t>
            </w:r>
          </w:p>
          <w:p w14:paraId="41B004B0" w14:textId="77777777" w:rsidR="00A81A9D" w:rsidRDefault="00000000">
            <w:r>
              <w:rPr>
                <w:color w:val="4A5568"/>
                <w:sz w:val="18"/>
                <w:szCs w:val="18"/>
              </w:rPr>
              <w:t>Language, spacing, and color choices are deliberate. Nothing is approximate.</w:t>
            </w:r>
          </w:p>
        </w:tc>
        <w:tc>
          <w:tcPr>
            <w:tcW w:w="3120" w:type="dxa"/>
            <w:tcBorders>
              <w:top w:val="none" w:sz="0" w:space="0" w:color="FFFFFF"/>
              <w:left w:val="single" w:sz="12" w:space="0" w:color="B8860B"/>
              <w:bottom w:val="none" w:sz="0" w:space="0" w:color="FFFFFF"/>
              <w:right w:val="none" w:sz="0" w:space="0" w:color="FFFFFF"/>
            </w:tcBorders>
            <w:shd w:val="clear" w:color="auto" w:fill="F4F5F6"/>
            <w:tcMar>
              <w:top w:w="180" w:type="dxa"/>
              <w:left w:w="200" w:type="dxa"/>
              <w:bottom w:w="180" w:type="dxa"/>
              <w:right w:w="120" w:type="dxa"/>
            </w:tcMar>
          </w:tcPr>
          <w:p w14:paraId="41B004B1" w14:textId="77777777" w:rsidR="00A81A9D" w:rsidRDefault="00000000">
            <w:pPr>
              <w:spacing w:after="60"/>
            </w:pPr>
            <w:r>
              <w:rPr>
                <w:b/>
                <w:bCs/>
                <w:color w:val="1A2332"/>
                <w:sz w:val="24"/>
                <w:szCs w:val="24"/>
              </w:rPr>
              <w:t>Efficient</w:t>
            </w:r>
          </w:p>
          <w:p w14:paraId="41B004B2" w14:textId="77777777" w:rsidR="00A81A9D" w:rsidRDefault="00000000">
            <w:r>
              <w:rPr>
                <w:color w:val="4A5568"/>
                <w:sz w:val="18"/>
                <w:szCs w:val="18"/>
              </w:rPr>
              <w:t>Every screen has one primary action. Users should never wonder what to do next.</w:t>
            </w:r>
          </w:p>
        </w:tc>
      </w:tr>
    </w:tbl>
    <w:p w14:paraId="41B004B4" w14:textId="77777777" w:rsidR="00A81A9D" w:rsidRDefault="00A81A9D">
      <w:pPr>
        <w:spacing w:before="200"/>
      </w:pPr>
    </w:p>
    <w:p w14:paraId="41B004B5" w14:textId="77777777" w:rsidR="00A81A9D" w:rsidRDefault="00000000">
      <w:pPr>
        <w:pStyle w:val="Heading2"/>
      </w:pPr>
      <w:r>
        <w:lastRenderedPageBreak/>
        <w:t>What to avoid</w:t>
      </w:r>
    </w:p>
    <w:p w14:paraId="41B004B6" w14:textId="77777777" w:rsidR="00A81A9D" w:rsidRDefault="00000000">
      <w:pPr>
        <w:spacing w:after="140"/>
      </w:pPr>
      <w:r>
        <w:t>These are the brand anti-patterns that undermine credibility and slow adoption:</w:t>
      </w:r>
    </w:p>
    <w:p w14:paraId="41B004B7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Repeating '/</w:t>
      </w:r>
      <w:proofErr w:type="spellStart"/>
      <w:r>
        <w:t>Znith</w:t>
      </w:r>
      <w:proofErr w:type="spellEnd"/>
      <w:r>
        <w:t>' on every card, label, and heading on the same page</w:t>
      </w:r>
    </w:p>
    <w:p w14:paraId="41B004B8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Using 'Powered by /</w:t>
      </w:r>
      <w:proofErr w:type="spellStart"/>
      <w:r>
        <w:t>Znith</w:t>
      </w:r>
      <w:proofErr w:type="spellEnd"/>
      <w:r>
        <w:t>' or similar attribution phrases — they read as insecure</w:t>
      </w:r>
    </w:p>
    <w:p w14:paraId="41B004B9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Treating amber as a celebration color (confetti, large fills, backgrounds) — it is an accent</w:t>
      </w:r>
    </w:p>
    <w:p w14:paraId="41B004BA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Putting your name or attribution in visible body copy — the footer handles this</w:t>
      </w:r>
    </w:p>
    <w:p w14:paraId="41B004BB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Version-stamping everything visibly (v3.1, v2.4) — one version reference per tool, in the footer</w:t>
      </w:r>
    </w:p>
    <w:p w14:paraId="41B004BC" w14:textId="77777777" w:rsidR="00A81A9D" w:rsidRDefault="00A81A9D">
      <w:pPr>
        <w:spacing w:before="240"/>
      </w:pPr>
    </w:p>
    <w:p w14:paraId="41B004BD" w14:textId="77777777" w:rsidR="00A81A9D" w:rsidRDefault="00000000">
      <w:r>
        <w:br w:type="page"/>
      </w:r>
    </w:p>
    <w:p w14:paraId="41B004BE" w14:textId="77777777" w:rsidR="00A81A9D" w:rsidRDefault="00000000">
      <w:pPr>
        <w:spacing w:before="480" w:after="60"/>
      </w:pPr>
      <w:r>
        <w:rPr>
          <w:b/>
          <w:bCs/>
          <w:color w:val="B8860B"/>
          <w:spacing w:val="80"/>
          <w:sz w:val="16"/>
          <w:szCs w:val="16"/>
        </w:rPr>
        <w:lastRenderedPageBreak/>
        <w:t>SECTION 02</w:t>
      </w:r>
    </w:p>
    <w:p w14:paraId="41B004BF" w14:textId="77777777" w:rsidR="00A81A9D" w:rsidRDefault="00000000">
      <w:pPr>
        <w:pStyle w:val="Heading1"/>
      </w:pPr>
      <w:r>
        <w:t>Color System</w:t>
      </w:r>
    </w:p>
    <w:p w14:paraId="41B004C0" w14:textId="77777777" w:rsidR="00A81A9D" w:rsidRDefault="00000000">
      <w:pPr>
        <w:spacing w:after="140"/>
      </w:pPr>
      <w:r>
        <w:t>The v1 color system was built for atmosphere. The new system is built for clarity. Amber stays — it is ownable, distinctive, and carries the /</w:t>
      </w:r>
      <w:proofErr w:type="spellStart"/>
      <w:r>
        <w:t>Znith</w:t>
      </w:r>
      <w:proofErr w:type="spellEnd"/>
      <w:r>
        <w:t xml:space="preserve"> identity. Everything else shifts from near-black to a light, neutral base.</w:t>
      </w:r>
    </w:p>
    <w:p w14:paraId="41B004C1" w14:textId="77777777" w:rsidR="00A81A9D" w:rsidRDefault="00000000">
      <w:pPr>
        <w:spacing w:after="140"/>
      </w:pPr>
      <w:r>
        <w:t>The result is a tool that feels premium without feeling heavy. It works in bright conference rooms, on a shared screen, and in the high-stakes moment of a live demo.</w:t>
      </w:r>
    </w:p>
    <w:p w14:paraId="41B004C2" w14:textId="77777777" w:rsidR="00A81A9D" w:rsidRDefault="00A81A9D">
      <w:pPr>
        <w:spacing w:before="120"/>
      </w:pPr>
    </w:p>
    <w:p w14:paraId="41B004C3" w14:textId="77777777" w:rsidR="00A81A9D" w:rsidRDefault="00000000">
      <w:pPr>
        <w:pStyle w:val="Heading2"/>
      </w:pPr>
      <w:r>
        <w:t>Base palette</w:t>
      </w:r>
    </w:p>
    <w:p w14:paraId="41B004C4" w14:textId="77777777" w:rsidR="00A81A9D" w:rsidRDefault="00A81A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1400"/>
        <w:gridCol w:w="5360"/>
      </w:tblGrid>
      <w:tr w:rsidR="00A81A9D" w14:paraId="41B004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4C5" w14:textId="77777777" w:rsidR="00A81A9D" w:rsidRDefault="00000000">
            <w:r>
              <w:rPr>
                <w:b/>
                <w:bCs/>
                <w:color w:val="4A5568"/>
                <w:sz w:val="16"/>
                <w:szCs w:val="16"/>
              </w:rPr>
              <w:t>Swatch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E2E5E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B004C6" w14:textId="77777777" w:rsidR="00A81A9D" w:rsidRDefault="00000000">
            <w:r>
              <w:rPr>
                <w:b/>
                <w:bCs/>
                <w:color w:val="4A5568"/>
                <w:sz w:val="16"/>
                <w:szCs w:val="16"/>
              </w:rPr>
              <w:t>Name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E2E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4C7" w14:textId="77777777" w:rsidR="00A81A9D" w:rsidRDefault="00000000">
            <w:r>
              <w:rPr>
                <w:b/>
                <w:bCs/>
                <w:color w:val="4A5568"/>
                <w:sz w:val="16"/>
                <w:szCs w:val="16"/>
              </w:rPr>
              <w:t>Hex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E2E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4C8" w14:textId="77777777" w:rsidR="00A81A9D" w:rsidRDefault="00000000">
            <w:r>
              <w:rPr>
                <w:b/>
                <w:bCs/>
                <w:color w:val="4A5568"/>
                <w:sz w:val="16"/>
                <w:szCs w:val="16"/>
              </w:rPr>
              <w:t>Role</w:t>
            </w:r>
          </w:p>
        </w:tc>
      </w:tr>
      <w:tr w:rsidR="00A81A9D" w14:paraId="41B004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004CA" w14:textId="77777777" w:rsidR="00A81A9D" w:rsidRDefault="00000000"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1B004CB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Amber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CC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#B8860B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CD" w14:textId="77777777" w:rsidR="00A81A9D" w:rsidRDefault="00000000">
            <w:r>
              <w:rPr>
                <w:color w:val="4A5568"/>
                <w:sz w:val="18"/>
                <w:szCs w:val="18"/>
              </w:rPr>
              <w:t>Brand accent — wordmark, CTAs, metric values, active nav, footer pip</w:t>
            </w:r>
          </w:p>
        </w:tc>
      </w:tr>
      <w:tr w:rsidR="00A81A9D" w14:paraId="41B004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3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004CF" w14:textId="77777777" w:rsidR="00A81A9D" w:rsidRDefault="00000000"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1B004D0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Navy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D1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#1A2332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D2" w14:textId="77777777" w:rsidR="00A81A9D" w:rsidRDefault="00000000">
            <w:r>
              <w:rPr>
                <w:color w:val="4A5568"/>
                <w:sz w:val="18"/>
                <w:szCs w:val="18"/>
              </w:rPr>
              <w:t>Primary text, headings, section titles</w:t>
            </w:r>
          </w:p>
        </w:tc>
      </w:tr>
      <w:tr w:rsidR="00A81A9D" w14:paraId="41B004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556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004D4" w14:textId="77777777" w:rsidR="00A81A9D" w:rsidRDefault="00000000"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1B004D5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Slate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D6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#4A5568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D7" w14:textId="77777777" w:rsidR="00A81A9D" w:rsidRDefault="00000000">
            <w:r>
              <w:rPr>
                <w:color w:val="4A5568"/>
                <w:sz w:val="18"/>
                <w:szCs w:val="18"/>
              </w:rPr>
              <w:t>Secondary text, labels, captions, helper copy</w:t>
            </w:r>
          </w:p>
        </w:tc>
      </w:tr>
      <w:tr w:rsidR="00A81A9D" w14:paraId="41B004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004D9" w14:textId="77777777" w:rsidR="00A81A9D" w:rsidRDefault="00000000">
            <w:r>
              <w:rPr>
                <w:color w:val="4A5568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1B004DA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Mist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DB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#F4F5F6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DC" w14:textId="77777777" w:rsidR="00A81A9D" w:rsidRDefault="00000000">
            <w:r>
              <w:rPr>
                <w:color w:val="4A5568"/>
                <w:sz w:val="18"/>
                <w:szCs w:val="18"/>
              </w:rPr>
              <w:t>Page background — replaces near-black</w:t>
            </w:r>
          </w:p>
        </w:tc>
      </w:tr>
      <w:tr w:rsidR="00A81A9D" w14:paraId="41B004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004DE" w14:textId="77777777" w:rsidR="00A81A9D" w:rsidRDefault="00000000">
            <w:r>
              <w:rPr>
                <w:color w:val="4A5568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1B004DF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Divider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E0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#E2E5E9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E1" w14:textId="77777777" w:rsidR="00A81A9D" w:rsidRDefault="00000000">
            <w:r>
              <w:rPr>
                <w:color w:val="4A5568"/>
                <w:sz w:val="18"/>
                <w:szCs w:val="18"/>
              </w:rPr>
              <w:t>Borders, separators, card outlines</w:t>
            </w:r>
          </w:p>
        </w:tc>
      </w:tr>
      <w:tr w:rsidR="00A81A9D" w14:paraId="41B004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004E3" w14:textId="77777777" w:rsidR="00A81A9D" w:rsidRDefault="00000000">
            <w:r>
              <w:rPr>
                <w:color w:val="4A5568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1B004E4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White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E5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#FFFFFF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E6" w14:textId="77777777" w:rsidR="00A81A9D" w:rsidRDefault="00000000">
            <w:r>
              <w:rPr>
                <w:color w:val="4A5568"/>
                <w:sz w:val="18"/>
                <w:szCs w:val="18"/>
              </w:rPr>
              <w:t>Card surface, input backgrounds</w:t>
            </w:r>
          </w:p>
        </w:tc>
      </w:tr>
      <w:tr w:rsidR="00A81A9D" w14:paraId="41B004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004E8" w14:textId="77777777" w:rsidR="00A81A9D" w:rsidRDefault="00000000">
            <w:r>
              <w:rPr>
                <w:color w:val="4A5568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1B004E9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Amber Mist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EA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#FDF3DC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EB" w14:textId="77777777" w:rsidR="00A81A9D" w:rsidRDefault="00000000">
            <w:r>
              <w:rPr>
                <w:color w:val="4A5568"/>
                <w:sz w:val="18"/>
                <w:szCs w:val="18"/>
              </w:rPr>
              <w:t>Callout backgrounds, highlight areas</w:t>
            </w:r>
          </w:p>
        </w:tc>
      </w:tr>
    </w:tbl>
    <w:p w14:paraId="41B004ED" w14:textId="77777777" w:rsidR="00A81A9D" w:rsidRDefault="00A81A9D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"/>
        <w:gridCol w:w="9114"/>
      </w:tblGrid>
      <w:tr w:rsidR="00A81A9D" w14:paraId="41B004F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8" w:space="0" w:color="B8860B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41B004EE" w14:textId="77777777" w:rsidR="00A81A9D" w:rsidRDefault="00A81A9D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B004EF" w14:textId="77777777" w:rsidR="00A81A9D" w:rsidRDefault="00000000">
            <w:pPr>
              <w:spacing w:after="6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Why light?  </w:t>
            </w:r>
          </w:p>
          <w:p w14:paraId="41B004F0" w14:textId="77777777" w:rsidR="00A81A9D" w:rsidRDefault="00000000">
            <w:r>
              <w:rPr>
                <w:sz w:val="20"/>
                <w:szCs w:val="20"/>
              </w:rPr>
              <w:t xml:space="preserve">Dark themes are </w:t>
            </w:r>
            <w:proofErr w:type="gramStart"/>
            <w:r>
              <w:rPr>
                <w:sz w:val="20"/>
                <w:szCs w:val="20"/>
              </w:rPr>
              <w:t>high-contrast</w:t>
            </w:r>
            <w:proofErr w:type="gramEnd"/>
            <w:r>
              <w:rPr>
                <w:sz w:val="20"/>
                <w:szCs w:val="20"/>
              </w:rPr>
              <w:t xml:space="preserve"> in controlled lighting but degrade quickly in bright rooms. A light base with dark text gives you WCAG AA compliance by default and reads cleanly in every selling context — office, conference room, or screen share.</w:t>
            </w:r>
          </w:p>
        </w:tc>
      </w:tr>
    </w:tbl>
    <w:p w14:paraId="41B004F2" w14:textId="77777777" w:rsidR="00A81A9D" w:rsidRDefault="00A81A9D">
      <w:pPr>
        <w:spacing w:before="200"/>
      </w:pPr>
    </w:p>
    <w:p w14:paraId="41B004F3" w14:textId="77777777" w:rsidR="00A81A9D" w:rsidRDefault="00000000">
      <w:pPr>
        <w:pStyle w:val="Heading2"/>
      </w:pPr>
      <w:r>
        <w:t>Contrast requirements</w:t>
      </w:r>
    </w:p>
    <w:p w14:paraId="41B004F4" w14:textId="77777777" w:rsidR="00A81A9D" w:rsidRDefault="00000000">
      <w:pPr>
        <w:spacing w:after="140"/>
      </w:pPr>
      <w:r>
        <w:t>Every text element in /</w:t>
      </w:r>
      <w:proofErr w:type="spellStart"/>
      <w:r>
        <w:t>Znith</w:t>
      </w:r>
      <w:proofErr w:type="spellEnd"/>
      <w:r>
        <w:t xml:space="preserve"> must meet WCAG AA minimums. These are not aspirational — they are the floor. Failing this means your tool actively disadvantages users in certain environments.</w:t>
      </w:r>
    </w:p>
    <w:p w14:paraId="41B004F5" w14:textId="77777777" w:rsidR="00A81A9D" w:rsidRDefault="00A81A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2000"/>
        <w:gridCol w:w="2160"/>
      </w:tblGrid>
      <w:tr w:rsidR="00A81A9D" w14:paraId="41B004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4F5F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4F6" w14:textId="77777777" w:rsidR="00A81A9D" w:rsidRDefault="00000000">
            <w:r>
              <w:rPr>
                <w:b/>
                <w:bCs/>
                <w:color w:val="1A2332"/>
                <w:sz w:val="18"/>
                <w:szCs w:val="18"/>
              </w:rPr>
              <w:t>Element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4F5F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F7" w14:textId="77777777" w:rsidR="00A81A9D" w:rsidRDefault="00000000">
            <w:r>
              <w:rPr>
                <w:b/>
                <w:bCs/>
                <w:color w:val="1A2332"/>
                <w:sz w:val="18"/>
                <w:szCs w:val="18"/>
              </w:rPr>
              <w:t>Foreground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4F5F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F8" w14:textId="77777777" w:rsidR="00A81A9D" w:rsidRDefault="00000000">
            <w:r>
              <w:rPr>
                <w:b/>
                <w:bCs/>
                <w:color w:val="1A2332"/>
                <w:sz w:val="18"/>
                <w:szCs w:val="18"/>
              </w:rPr>
              <w:t>Background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4F5F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4F9" w14:textId="77777777" w:rsidR="00A81A9D" w:rsidRDefault="00000000">
            <w:r>
              <w:rPr>
                <w:b/>
                <w:bCs/>
                <w:color w:val="1A2332"/>
                <w:sz w:val="18"/>
                <w:szCs w:val="18"/>
              </w:rPr>
              <w:t>Min. Ratio</w:t>
            </w:r>
          </w:p>
        </w:tc>
      </w:tr>
      <w:tr w:rsidR="00A81A9D" w14:paraId="41B004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4FB" w14:textId="77777777" w:rsidR="00A81A9D" w:rsidRDefault="00000000">
            <w:r>
              <w:rPr>
                <w:sz w:val="18"/>
                <w:szCs w:val="18"/>
              </w:rPr>
              <w:t>Body text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4FC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#2D3748 (Navy-</w:t>
            </w:r>
            <w:proofErr w:type="spellStart"/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ish</w:t>
            </w:r>
            <w:proofErr w:type="spellEnd"/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4FD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#F4F5F6 (Mist)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4FE" w14:textId="77777777" w:rsidR="00A81A9D" w:rsidRDefault="00000000">
            <w:r>
              <w:rPr>
                <w:color w:val="16A34A"/>
                <w:sz w:val="18"/>
                <w:szCs w:val="18"/>
              </w:rPr>
              <w:t>4.5:1 (AA)</w:t>
            </w:r>
          </w:p>
        </w:tc>
      </w:tr>
      <w:tr w:rsidR="00A81A9D" w14:paraId="41B005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00" w14:textId="77777777" w:rsidR="00A81A9D" w:rsidRDefault="00000000">
            <w:r>
              <w:rPr>
                <w:sz w:val="18"/>
                <w:szCs w:val="18"/>
              </w:rPr>
              <w:t>Secondary / muted text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01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#4A5568 (Slate)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02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#FFFFFF (White)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03" w14:textId="77777777" w:rsidR="00A81A9D" w:rsidRDefault="00000000">
            <w:r>
              <w:rPr>
                <w:color w:val="16A34A"/>
                <w:sz w:val="18"/>
                <w:szCs w:val="18"/>
              </w:rPr>
              <w:t>4.5:1 (AA)</w:t>
            </w:r>
          </w:p>
        </w:tc>
      </w:tr>
      <w:tr w:rsidR="00A81A9D" w14:paraId="41B00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05" w14:textId="77777777" w:rsidR="00A81A9D" w:rsidRDefault="00000000">
            <w:r>
              <w:rPr>
                <w:sz w:val="18"/>
                <w:szCs w:val="18"/>
              </w:rPr>
              <w:lastRenderedPageBreak/>
              <w:t>Labels / eyebrows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06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#B8860B (Amber)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07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#F4F5F6 (Mist)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08" w14:textId="77777777" w:rsidR="00A81A9D" w:rsidRDefault="00000000">
            <w:r>
              <w:rPr>
                <w:color w:val="B8860B"/>
                <w:sz w:val="18"/>
                <w:szCs w:val="18"/>
              </w:rPr>
              <w:t>3.1:1 (AA Large)</w:t>
            </w:r>
          </w:p>
        </w:tc>
      </w:tr>
    </w:tbl>
    <w:p w14:paraId="41B0050A" w14:textId="77777777" w:rsidR="00A81A9D" w:rsidRDefault="00A81A9D">
      <w:pPr>
        <w:spacing w:before="120"/>
      </w:pPr>
    </w:p>
    <w:p w14:paraId="41B0050B" w14:textId="77777777" w:rsidR="00A81A9D" w:rsidRDefault="00000000">
      <w:pPr>
        <w:spacing w:after="100"/>
      </w:pPr>
      <w:r>
        <w:rPr>
          <w:color w:val="4A5568"/>
          <w:sz w:val="18"/>
          <w:szCs w:val="18"/>
        </w:rPr>
        <w:t>Note: Amber on light backgrounds meets AA for large text (18pt+ or 14pt bold). Use it for labels, eyebrows, and headings only — not for small body copy.</w:t>
      </w:r>
    </w:p>
    <w:p w14:paraId="41B0050C" w14:textId="77777777" w:rsidR="00A81A9D" w:rsidRDefault="00A81A9D">
      <w:pPr>
        <w:spacing w:before="200"/>
      </w:pPr>
    </w:p>
    <w:p w14:paraId="41B0050D" w14:textId="77777777" w:rsidR="00A81A9D" w:rsidRDefault="00000000">
      <w:pPr>
        <w:pStyle w:val="Heading2"/>
      </w:pPr>
      <w:r>
        <w:t>Module accent colors — retained from v1</w:t>
      </w:r>
    </w:p>
    <w:p w14:paraId="41B0050E" w14:textId="77777777" w:rsidR="00A81A9D" w:rsidRDefault="00000000">
      <w:pPr>
        <w:spacing w:after="140"/>
      </w:pPr>
      <w:r>
        <w:t>The per-module accent color system from v1 is one of the strongest design decisions in the toolkit. Each tool has a distinct color that signals where you are in the sales cycle. Keep this logic exactly as-is — just move the accents from backgrounds to borders, badges, and active states only.</w:t>
      </w:r>
    </w:p>
    <w:p w14:paraId="41B0050F" w14:textId="77777777" w:rsidR="00A81A9D" w:rsidRDefault="00A81A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1600"/>
        <w:gridCol w:w="5160"/>
      </w:tblGrid>
      <w:tr w:rsidR="00A81A9D" w14:paraId="41B005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10" w14:textId="77777777" w:rsidR="00A81A9D" w:rsidRDefault="00A81A9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4F5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11" w14:textId="77777777" w:rsidR="00A81A9D" w:rsidRDefault="00000000">
            <w:r>
              <w:rPr>
                <w:b/>
                <w:bCs/>
                <w:color w:val="1A2332"/>
                <w:sz w:val="16"/>
                <w:szCs w:val="16"/>
              </w:rPr>
              <w:t>Module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4F5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12" w14:textId="77777777" w:rsidR="00A81A9D" w:rsidRDefault="00000000">
            <w:r>
              <w:rPr>
                <w:b/>
                <w:bCs/>
                <w:color w:val="1A2332"/>
                <w:sz w:val="16"/>
                <w:szCs w:val="16"/>
              </w:rPr>
              <w:t>Stage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4F5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13" w14:textId="77777777" w:rsidR="00A81A9D" w:rsidRDefault="00000000">
            <w:r>
              <w:rPr>
                <w:b/>
                <w:bCs/>
                <w:color w:val="1A2332"/>
                <w:sz w:val="16"/>
                <w:szCs w:val="16"/>
              </w:rPr>
              <w:t>Rationale</w:t>
            </w:r>
          </w:p>
        </w:tc>
      </w:tr>
      <w:tr w:rsidR="00A81A9D" w14:paraId="41B005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B8860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00515" w14:textId="77777777" w:rsidR="00A81A9D" w:rsidRDefault="00A81A9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16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Prospecting Agent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517" w14:textId="77777777" w:rsidR="00A81A9D" w:rsidRDefault="00000000">
            <w:r>
              <w:rPr>
                <w:i/>
                <w:iCs/>
                <w:color w:val="4A5568"/>
                <w:sz w:val="18"/>
                <w:szCs w:val="18"/>
              </w:rPr>
              <w:t>Top of Funnel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518" w14:textId="77777777" w:rsidR="00A81A9D" w:rsidRDefault="00000000">
            <w:r>
              <w:rPr>
                <w:color w:val="4A5568"/>
                <w:sz w:val="18"/>
                <w:szCs w:val="18"/>
              </w:rPr>
              <w:t>Amber — same as system color. This is the flagship entry point.</w:t>
            </w:r>
          </w:p>
        </w:tc>
      </w:tr>
      <w:tr w:rsidR="00A81A9D" w14:paraId="41B005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0051A" w14:textId="77777777" w:rsidR="00A81A9D" w:rsidRDefault="00A81A9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1B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Account Brief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51C" w14:textId="77777777" w:rsidR="00A81A9D" w:rsidRDefault="00000000">
            <w:r>
              <w:rPr>
                <w:i/>
                <w:iCs/>
                <w:color w:val="4A5568"/>
                <w:sz w:val="18"/>
                <w:szCs w:val="18"/>
              </w:rPr>
              <w:t>Prepare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51D" w14:textId="77777777" w:rsidR="00A81A9D" w:rsidRDefault="00000000">
            <w:r>
              <w:rPr>
                <w:color w:val="4A5568"/>
                <w:sz w:val="18"/>
                <w:szCs w:val="18"/>
              </w:rPr>
              <w:t>Teal — research, depth, information gathering.</w:t>
            </w:r>
          </w:p>
        </w:tc>
      </w:tr>
      <w:tr w:rsidR="00A81A9D" w14:paraId="41B005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8B5C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0051F" w14:textId="77777777" w:rsidR="00A81A9D" w:rsidRDefault="00A81A9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20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Value Map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521" w14:textId="77777777" w:rsidR="00A81A9D" w:rsidRDefault="00000000">
            <w:r>
              <w:rPr>
                <w:i/>
                <w:iCs/>
                <w:color w:val="4A5568"/>
                <w:sz w:val="18"/>
                <w:szCs w:val="18"/>
              </w:rPr>
              <w:t>Discover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522" w14:textId="77777777" w:rsidR="00A81A9D" w:rsidRDefault="00000000">
            <w:r>
              <w:rPr>
                <w:color w:val="4A5568"/>
                <w:sz w:val="18"/>
                <w:szCs w:val="18"/>
              </w:rPr>
              <w:t>Violet — strategy, insight, elevated thinking.</w:t>
            </w:r>
          </w:p>
        </w:tc>
      </w:tr>
      <w:tr w:rsidR="00A81A9D" w14:paraId="41B005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EA580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00524" w14:textId="77777777" w:rsidR="00A81A9D" w:rsidRDefault="00A81A9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25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Demo Brief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526" w14:textId="77777777" w:rsidR="00A81A9D" w:rsidRDefault="00000000">
            <w:r>
              <w:rPr>
                <w:i/>
                <w:iCs/>
                <w:color w:val="4A5568"/>
                <w:sz w:val="18"/>
                <w:szCs w:val="18"/>
              </w:rPr>
              <w:t>Qualify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527" w14:textId="77777777" w:rsidR="00A81A9D" w:rsidRDefault="00000000">
            <w:r>
              <w:rPr>
                <w:color w:val="4A5568"/>
                <w:sz w:val="18"/>
                <w:szCs w:val="18"/>
              </w:rPr>
              <w:t>Orange — energy, performance, momentum.</w:t>
            </w:r>
          </w:p>
        </w:tc>
      </w:tr>
      <w:tr w:rsidR="00A81A9D" w14:paraId="41B005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16A3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00529" w14:textId="77777777" w:rsidR="00A81A9D" w:rsidRDefault="00A81A9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2A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Qualify IQ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52B" w14:textId="77777777" w:rsidR="00A81A9D" w:rsidRDefault="00000000">
            <w:r>
              <w:rPr>
                <w:i/>
                <w:iCs/>
                <w:color w:val="4A5568"/>
                <w:sz w:val="18"/>
                <w:szCs w:val="18"/>
              </w:rPr>
              <w:t>Qualify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52C" w14:textId="77777777" w:rsidR="00A81A9D" w:rsidRDefault="00000000">
            <w:r>
              <w:rPr>
                <w:color w:val="4A5568"/>
                <w:sz w:val="18"/>
                <w:szCs w:val="18"/>
              </w:rPr>
              <w:t>Green — go/no-go signal, confidence, decision.</w:t>
            </w:r>
          </w:p>
        </w:tc>
      </w:tr>
      <w:tr w:rsidR="00A81A9D" w14:paraId="41B005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E11D4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0052E" w14:textId="77777777" w:rsidR="00A81A9D" w:rsidRDefault="00A81A9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2F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Deal Coach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530" w14:textId="77777777" w:rsidR="00A81A9D" w:rsidRDefault="00000000">
            <w:r>
              <w:rPr>
                <w:i/>
                <w:iCs/>
                <w:color w:val="4A5568"/>
                <w:sz w:val="18"/>
                <w:szCs w:val="18"/>
              </w:rPr>
              <w:t>Negotiate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B00531" w14:textId="77777777" w:rsidR="00A81A9D" w:rsidRDefault="00000000">
            <w:r>
              <w:rPr>
                <w:color w:val="4A5568"/>
                <w:sz w:val="18"/>
                <w:szCs w:val="18"/>
              </w:rPr>
              <w:t>Rose — urgency, stakes, close.</w:t>
            </w:r>
          </w:p>
        </w:tc>
      </w:tr>
    </w:tbl>
    <w:p w14:paraId="41B00533" w14:textId="77777777" w:rsidR="00A81A9D" w:rsidRDefault="00A81A9D">
      <w:pPr>
        <w:spacing w:before="240"/>
      </w:pPr>
    </w:p>
    <w:p w14:paraId="41B00534" w14:textId="77777777" w:rsidR="00A81A9D" w:rsidRDefault="00000000">
      <w:r>
        <w:br w:type="page"/>
      </w:r>
    </w:p>
    <w:p w14:paraId="41B00535" w14:textId="77777777" w:rsidR="00A81A9D" w:rsidRDefault="00000000">
      <w:pPr>
        <w:spacing w:before="480" w:after="60"/>
      </w:pPr>
      <w:r>
        <w:rPr>
          <w:b/>
          <w:bCs/>
          <w:color w:val="B8860B"/>
          <w:spacing w:val="80"/>
          <w:sz w:val="16"/>
          <w:szCs w:val="16"/>
        </w:rPr>
        <w:lastRenderedPageBreak/>
        <w:t>SECTION 03</w:t>
      </w:r>
    </w:p>
    <w:p w14:paraId="41B00536" w14:textId="77777777" w:rsidR="00A81A9D" w:rsidRDefault="00000000">
      <w:pPr>
        <w:pStyle w:val="Heading1"/>
      </w:pPr>
      <w:r>
        <w:t>Typography</w:t>
      </w:r>
    </w:p>
    <w:p w14:paraId="41B00537" w14:textId="77777777" w:rsidR="00A81A9D" w:rsidRDefault="00000000">
      <w:pPr>
        <w:spacing w:after="140"/>
      </w:pPr>
      <w:r>
        <w:t>The v1 three-font system is solid and should be kept. Each typeface has a distinct role and they work well together. The changes here are about sizing, weight distribution, and contrast — not font selection.</w:t>
      </w:r>
    </w:p>
    <w:p w14:paraId="41B00538" w14:textId="77777777" w:rsidR="00A81A9D" w:rsidRDefault="00A81A9D">
      <w:pPr>
        <w:spacing w:before="80"/>
      </w:pPr>
    </w:p>
    <w:p w14:paraId="41B00539" w14:textId="77777777" w:rsidR="00A81A9D" w:rsidRDefault="00000000">
      <w:pPr>
        <w:pStyle w:val="Heading2"/>
      </w:pPr>
      <w:r>
        <w:t>Font roles</w:t>
      </w:r>
    </w:p>
    <w:p w14:paraId="41B0053A" w14:textId="77777777" w:rsidR="00A81A9D" w:rsidRDefault="00A81A9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600"/>
        <w:gridCol w:w="3560"/>
      </w:tblGrid>
      <w:tr w:rsidR="00A81A9D" w14:paraId="41B00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4F5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3B" w14:textId="77777777" w:rsidR="00A81A9D" w:rsidRDefault="00000000">
            <w:r>
              <w:rPr>
                <w:b/>
                <w:bCs/>
                <w:color w:val="1A2332"/>
                <w:sz w:val="16"/>
                <w:szCs w:val="16"/>
              </w:rPr>
              <w:t>Font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4F5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3C" w14:textId="77777777" w:rsidR="00A81A9D" w:rsidRDefault="00000000">
            <w:r>
              <w:rPr>
                <w:b/>
                <w:bCs/>
                <w:color w:val="1A2332"/>
                <w:sz w:val="16"/>
                <w:szCs w:val="16"/>
              </w:rPr>
              <w:t>Variable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4F5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3D" w14:textId="77777777" w:rsidR="00A81A9D" w:rsidRDefault="00000000">
            <w:r>
              <w:rPr>
                <w:b/>
                <w:bCs/>
                <w:color w:val="1A2332"/>
                <w:sz w:val="16"/>
                <w:szCs w:val="16"/>
              </w:rPr>
              <w:t>Weights Used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4F5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3E" w14:textId="77777777" w:rsidR="00A81A9D" w:rsidRDefault="00000000">
            <w:r>
              <w:rPr>
                <w:b/>
                <w:bCs/>
                <w:color w:val="1A2332"/>
                <w:sz w:val="16"/>
                <w:szCs w:val="16"/>
              </w:rPr>
              <w:t>Used For</w:t>
            </w:r>
          </w:p>
        </w:tc>
      </w:tr>
      <w:tr w:rsidR="00A81A9D" w14:paraId="41B005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40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Epilogue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41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--f-brand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42" w14:textId="77777777" w:rsidR="00A81A9D" w:rsidRDefault="00000000">
            <w:r>
              <w:rPr>
                <w:sz w:val="18"/>
                <w:szCs w:val="18"/>
              </w:rPr>
              <w:t>700, 800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43" w14:textId="77777777" w:rsidR="00A81A9D" w:rsidRDefault="00000000">
            <w:r>
              <w:rPr>
                <w:sz w:val="18"/>
                <w:szCs w:val="18"/>
              </w:rPr>
              <w:t>Wordmark, section headers, metric values (the numbers)</w:t>
            </w:r>
          </w:p>
        </w:tc>
      </w:tr>
      <w:tr w:rsidR="00A81A9D" w14:paraId="41B00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45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Barlow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46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--f-</w:t>
            </w:r>
            <w:proofErr w:type="spellStart"/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ui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47" w14:textId="77777777" w:rsidR="00A81A9D" w:rsidRDefault="00000000">
            <w:r>
              <w:rPr>
                <w:sz w:val="18"/>
                <w:szCs w:val="18"/>
              </w:rPr>
              <w:t>400, 500, 600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48" w14:textId="77777777" w:rsidR="00A81A9D" w:rsidRDefault="00000000">
            <w:r>
              <w:rPr>
                <w:sz w:val="18"/>
                <w:szCs w:val="18"/>
              </w:rPr>
              <w:t>Body, inputs, nav items, buttons, instructions</w:t>
            </w:r>
          </w:p>
        </w:tc>
      </w:tr>
      <w:tr w:rsidR="00A81A9D" w14:paraId="41B005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4A" w14:textId="77777777" w:rsidR="00A81A9D" w:rsidRDefault="00000000">
            <w:r>
              <w:rPr>
                <w:b/>
                <w:bCs/>
                <w:color w:val="1A2332"/>
                <w:sz w:val="20"/>
                <w:szCs w:val="20"/>
              </w:rPr>
              <w:t>IBM Plex Mono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4B" w14:textId="77777777" w:rsidR="00A81A9D" w:rsidRDefault="00000000">
            <w:r>
              <w:rPr>
                <w:rFonts w:ascii="Courier New" w:eastAsia="Courier New" w:hAnsi="Courier New" w:cs="Courier New"/>
                <w:color w:val="4A5568"/>
                <w:sz w:val="16"/>
                <w:szCs w:val="16"/>
              </w:rPr>
              <w:t>--f-mono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4C" w14:textId="77777777" w:rsidR="00A81A9D" w:rsidRDefault="00000000">
            <w:r>
              <w:rPr>
                <w:sz w:val="18"/>
                <w:szCs w:val="18"/>
              </w:rPr>
              <w:t>400, 500, 700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054D" w14:textId="77777777" w:rsidR="00A81A9D" w:rsidRDefault="00000000">
            <w:r>
              <w:rPr>
                <w:sz w:val="18"/>
                <w:szCs w:val="18"/>
              </w:rPr>
              <w:t>Badges, version numbers, step labels, keyboard hints</w:t>
            </w:r>
          </w:p>
        </w:tc>
      </w:tr>
    </w:tbl>
    <w:p w14:paraId="41B0054F" w14:textId="77777777" w:rsidR="00A81A9D" w:rsidRDefault="00A81A9D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"/>
        <w:gridCol w:w="9114"/>
      </w:tblGrid>
      <w:tr w:rsidR="00A81A9D" w14:paraId="41B0055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8" w:space="0" w:color="B8860B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41B00550" w14:textId="77777777" w:rsidR="00A81A9D" w:rsidRDefault="00A81A9D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B00551" w14:textId="77777777" w:rsidR="00A81A9D" w:rsidRDefault="00000000">
            <w:pPr>
              <w:spacing w:after="6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Typography anti-pattern to fix  </w:t>
            </w:r>
          </w:p>
          <w:p w14:paraId="41B00552" w14:textId="77777777" w:rsidR="00A81A9D" w:rsidRDefault="00000000">
            <w:r>
              <w:rPr>
                <w:sz w:val="20"/>
                <w:szCs w:val="20"/>
              </w:rPr>
              <w:t xml:space="preserve">In v1, muted labels use </w:t>
            </w:r>
            <w:proofErr w:type="spellStart"/>
            <w:proofErr w:type="gramStart"/>
            <w:r>
              <w:rPr>
                <w:sz w:val="20"/>
                <w:szCs w:val="20"/>
              </w:rPr>
              <w:t>rgba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255,255,255,0.20) — 20% white on near-black. These fail contrast by a wide margin and are the biggest readability problem in the current system. In the new system, the muted text equivalent is #4A5568 (Slate) on white or mist backgrounds, which passes AA with room to spare.</w:t>
            </w:r>
          </w:p>
        </w:tc>
      </w:tr>
    </w:tbl>
    <w:p w14:paraId="41B00554" w14:textId="77777777" w:rsidR="00A81A9D" w:rsidRDefault="00A81A9D">
      <w:pPr>
        <w:spacing w:before="200"/>
      </w:pPr>
    </w:p>
    <w:p w14:paraId="41B00555" w14:textId="77777777" w:rsidR="00A81A9D" w:rsidRDefault="00000000">
      <w:pPr>
        <w:pStyle w:val="Heading2"/>
      </w:pPr>
      <w:r>
        <w:t>Type scale</w:t>
      </w:r>
    </w:p>
    <w:p w14:paraId="41B00556" w14:textId="77777777" w:rsidR="00A81A9D" w:rsidRDefault="00000000">
      <w:pPr>
        <w:spacing w:after="140"/>
      </w:pPr>
      <w:r>
        <w:t>Keep the scale tight. Most of the visual hierarchy in the toolkit comes from spacing and weight, not size differences. Avoid more than four size levels on any single screen.</w:t>
      </w:r>
    </w:p>
    <w:p w14:paraId="41B00557" w14:textId="77777777" w:rsidR="00A81A9D" w:rsidRDefault="00A81A9D">
      <w:pPr>
        <w:spacing w:before="60"/>
      </w:pPr>
    </w:p>
    <w:p w14:paraId="41B00558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Page / section title: 22–26px, Epilogue 800</w:t>
      </w:r>
    </w:p>
    <w:p w14:paraId="41B00559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Stage or card heading: 15–16px, Barlow 600</w:t>
      </w:r>
    </w:p>
    <w:p w14:paraId="41B0055A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Body / instructions: 14px, Barlow 400–500</w:t>
      </w:r>
    </w:p>
    <w:p w14:paraId="41B0055B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Labels, badges, captions: 10–11px, IBM Plex Mono 400–700</w:t>
      </w:r>
    </w:p>
    <w:p w14:paraId="41B0055C" w14:textId="77777777" w:rsidR="00A81A9D" w:rsidRDefault="00A81A9D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"/>
        <w:gridCol w:w="9114"/>
      </w:tblGrid>
      <w:tr w:rsidR="00A81A9D" w14:paraId="41B0056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8" w:space="0" w:color="B8860B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41B0055D" w14:textId="77777777" w:rsidR="00A81A9D" w:rsidRDefault="00A81A9D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B0055E" w14:textId="77777777" w:rsidR="00A81A9D" w:rsidRDefault="00000000">
            <w:pPr>
              <w:spacing w:after="6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Note on the 9px labels  </w:t>
            </w:r>
          </w:p>
          <w:p w14:paraId="41B0055F" w14:textId="77777777" w:rsidR="00A81A9D" w:rsidRDefault="00000000">
            <w:r>
              <w:rPr>
                <w:sz w:val="20"/>
                <w:szCs w:val="20"/>
              </w:rPr>
              <w:t>V1 uses 9px mono labels extensively. At 9px these are purely decorative — users can see they are labels but cannot read them quickly. Bump all label text to a minimum of 10px, ideally 11px.</w:t>
            </w:r>
          </w:p>
        </w:tc>
      </w:tr>
    </w:tbl>
    <w:p w14:paraId="41B00561" w14:textId="77777777" w:rsidR="00A81A9D" w:rsidRDefault="00A81A9D">
      <w:pPr>
        <w:spacing w:before="240"/>
      </w:pPr>
    </w:p>
    <w:p w14:paraId="41B00562" w14:textId="77777777" w:rsidR="00A81A9D" w:rsidRDefault="00000000">
      <w:r>
        <w:br w:type="page"/>
      </w:r>
    </w:p>
    <w:p w14:paraId="41B00563" w14:textId="77777777" w:rsidR="00A81A9D" w:rsidRDefault="00000000">
      <w:pPr>
        <w:spacing w:before="480" w:after="60"/>
      </w:pPr>
      <w:r>
        <w:rPr>
          <w:b/>
          <w:bCs/>
          <w:color w:val="B8860B"/>
          <w:spacing w:val="80"/>
          <w:sz w:val="16"/>
          <w:szCs w:val="16"/>
        </w:rPr>
        <w:lastRenderedPageBreak/>
        <w:t>SECTION 04</w:t>
      </w:r>
    </w:p>
    <w:p w14:paraId="41B00564" w14:textId="77777777" w:rsidR="00A81A9D" w:rsidRDefault="00000000">
      <w:pPr>
        <w:pStyle w:val="Heading1"/>
      </w:pPr>
      <w:r>
        <w:t>Layout and Component Principles</w:t>
      </w:r>
    </w:p>
    <w:p w14:paraId="41B00565" w14:textId="77777777" w:rsidR="00A81A9D" w:rsidRDefault="00000000">
      <w:pPr>
        <w:spacing w:after="140"/>
      </w:pPr>
      <w:r>
        <w:t>The chamfer corner system from v1 is distinctive and should be kept. It is one of the few visual signatures that is both ownable and subtle — it says 'this was designed' without screaming it.</w:t>
      </w:r>
    </w:p>
    <w:p w14:paraId="41B00566" w14:textId="77777777" w:rsidR="00A81A9D" w:rsidRDefault="00000000">
      <w:pPr>
        <w:spacing w:after="140"/>
      </w:pPr>
      <w:r>
        <w:t>These principles govern how the toolkit is laid out, how components behave, and where to invest design effort.</w:t>
      </w:r>
    </w:p>
    <w:p w14:paraId="41B00567" w14:textId="77777777" w:rsidR="00A81A9D" w:rsidRDefault="00A81A9D">
      <w:pPr>
        <w:spacing w:before="80"/>
      </w:pPr>
    </w:p>
    <w:p w14:paraId="41B00568" w14:textId="77777777" w:rsidR="00A81A9D" w:rsidRDefault="00000000">
      <w:pPr>
        <w:pStyle w:val="Heading2"/>
      </w:pPr>
      <w:r>
        <w:t>The chamfer system</w:t>
      </w:r>
    </w:p>
    <w:p w14:paraId="41B00569" w14:textId="77777777" w:rsidR="00A81A9D" w:rsidRDefault="00000000">
      <w:pPr>
        <w:spacing w:after="140"/>
      </w:pPr>
      <w:r>
        <w:t>The octagonal clip-path corners are the most distinctive visual element in /</w:t>
      </w:r>
      <w:proofErr w:type="spellStart"/>
      <w:proofErr w:type="gramStart"/>
      <w:r>
        <w:t>Znith</w:t>
      </w:r>
      <w:proofErr w:type="spellEnd"/>
      <w:proofErr w:type="gramEnd"/>
      <w:r>
        <w:t xml:space="preserve"> and they should be preserved unchanged. They work in v1 and they will work in the lighter theme.</w:t>
      </w:r>
    </w:p>
    <w:p w14:paraId="41B0056A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Large chamfer (10px clip): cards, panels, stage blocks, modals, preview shells</w:t>
      </w:r>
    </w:p>
    <w:p w14:paraId="41B0056B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Small chamfer (5px clip): badges, buttons, inputs, nav items, tooltips</w:t>
      </w:r>
    </w:p>
    <w:p w14:paraId="41B0056C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No chamfer: dividers, rules, page backgrounds, table rows</w:t>
      </w:r>
    </w:p>
    <w:p w14:paraId="41B0056D" w14:textId="77777777" w:rsidR="00A81A9D" w:rsidRDefault="00A81A9D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"/>
        <w:gridCol w:w="9114"/>
      </w:tblGrid>
      <w:tr w:rsidR="00A81A9D" w14:paraId="41B0057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8" w:space="0" w:color="B8860B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41B0056E" w14:textId="77777777" w:rsidR="00A81A9D" w:rsidRDefault="00A81A9D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B0056F" w14:textId="77777777" w:rsidR="00A81A9D" w:rsidRDefault="00000000">
            <w:pPr>
              <w:spacing w:after="6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Why keep chamfers on a lighter theme?  </w:t>
            </w:r>
          </w:p>
          <w:p w14:paraId="41B00570" w14:textId="77777777" w:rsidR="00A81A9D" w:rsidRDefault="00000000">
            <w:r>
              <w:rPr>
                <w:sz w:val="20"/>
                <w:szCs w:val="20"/>
              </w:rPr>
              <w:t>On a dark background, chamfers feel techy and heavy. On a light background with a white card and a subtle border, they read as refined and precise — closer to a high-end design tool than a hacker terminal. The context changes the perception entirely.</w:t>
            </w:r>
          </w:p>
        </w:tc>
      </w:tr>
    </w:tbl>
    <w:p w14:paraId="41B00572" w14:textId="77777777" w:rsidR="00A81A9D" w:rsidRDefault="00A81A9D">
      <w:pPr>
        <w:spacing w:before="200"/>
      </w:pPr>
    </w:p>
    <w:p w14:paraId="41B00573" w14:textId="77777777" w:rsidR="00A81A9D" w:rsidRDefault="00000000">
      <w:pPr>
        <w:pStyle w:val="Heading2"/>
      </w:pPr>
      <w:r>
        <w:t>The one-action-per-screen rule</w:t>
      </w:r>
    </w:p>
    <w:p w14:paraId="41B00574" w14:textId="77777777" w:rsidR="00A81A9D" w:rsidRDefault="00000000">
      <w:pPr>
        <w:spacing w:after="140"/>
      </w:pPr>
      <w:r>
        <w:t>The single biggest factor in user adoption is clarity of the next step. Each stage or screen in any /</w:t>
      </w:r>
      <w:proofErr w:type="spellStart"/>
      <w:r>
        <w:t>Znith</w:t>
      </w:r>
      <w:proofErr w:type="spellEnd"/>
      <w:r>
        <w:t xml:space="preserve"> tool should have exactly one primary call to action, styled in amber. Everything else on screen supports that action.</w:t>
      </w:r>
    </w:p>
    <w:p w14:paraId="41B00575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One amber CTA button per stage</w:t>
      </w:r>
    </w:p>
    <w:p w14:paraId="41B00576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Secondary actions (back, skip, reset) use ghost or flat styling — never amber</w:t>
      </w:r>
    </w:p>
    <w:p w14:paraId="41B00577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If a screen has two amber buttons, one of them is wrong</w:t>
      </w:r>
    </w:p>
    <w:p w14:paraId="41B00578" w14:textId="77777777" w:rsidR="00A81A9D" w:rsidRDefault="00A81A9D">
      <w:pPr>
        <w:spacing w:before="200"/>
      </w:pPr>
    </w:p>
    <w:p w14:paraId="41B00579" w14:textId="77777777" w:rsidR="00A81A9D" w:rsidRDefault="00000000">
      <w:pPr>
        <w:pStyle w:val="Heading2"/>
      </w:pPr>
      <w:r>
        <w:t>Card and stage structure</w:t>
      </w:r>
    </w:p>
    <w:p w14:paraId="41B0057A" w14:textId="77777777" w:rsidR="00A81A9D" w:rsidRDefault="00000000">
      <w:pPr>
        <w:spacing w:after="140"/>
      </w:pPr>
      <w:r>
        <w:t>Each 'stage' in a /</w:t>
      </w:r>
      <w:proofErr w:type="spellStart"/>
      <w:r>
        <w:t>Znith</w:t>
      </w:r>
      <w:proofErr w:type="spellEnd"/>
      <w:r>
        <w:t xml:space="preserve"> tool follows the same structure. Consistency here is what makes the suite feel like a suite rather than a collection of one-offs.</w:t>
      </w:r>
    </w:p>
    <w:p w14:paraId="41B0057B" w14:textId="77777777" w:rsidR="00A81A9D" w:rsidRDefault="00A81A9D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81A9D" w14:paraId="41B005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single" w:sz="2" w:space="0" w:color="E2E5E9"/>
            </w:tcBorders>
            <w:shd w:val="clear" w:color="auto" w:fill="F4F5F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7C" w14:textId="77777777" w:rsidR="00A81A9D" w:rsidRDefault="00000000">
            <w:r>
              <w:rPr>
                <w:b/>
                <w:bCs/>
                <w:color w:val="1A2332"/>
                <w:sz w:val="18"/>
                <w:szCs w:val="18"/>
              </w:rPr>
              <w:t>Header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7D" w14:textId="77777777" w:rsidR="00A81A9D" w:rsidRDefault="00000000">
            <w:r>
              <w:rPr>
                <w:sz w:val="18"/>
                <w:szCs w:val="18"/>
              </w:rPr>
              <w:t>Stage number + title + module accent badge. Module accent color used on the left border strip.</w:t>
            </w:r>
          </w:p>
        </w:tc>
      </w:tr>
      <w:tr w:rsidR="00A81A9D" w14:paraId="41B005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single" w:sz="2" w:space="0" w:color="E2E5E9"/>
            </w:tcBorders>
            <w:shd w:val="clear" w:color="auto" w:fill="F4F5F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7F" w14:textId="77777777" w:rsidR="00A81A9D" w:rsidRDefault="00000000">
            <w:r>
              <w:rPr>
                <w:b/>
                <w:bCs/>
                <w:color w:val="1A2332"/>
                <w:sz w:val="18"/>
                <w:szCs w:val="18"/>
              </w:rPr>
              <w:lastRenderedPageBreak/>
              <w:t>Body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80" w14:textId="77777777" w:rsidR="00A81A9D" w:rsidRDefault="00000000">
            <w:r>
              <w:rPr>
                <w:sz w:val="18"/>
                <w:szCs w:val="18"/>
              </w:rPr>
              <w:t>Input fields, helper text, inline guidance. Ample padding (16–20px). No decorative elements here.</w:t>
            </w:r>
          </w:p>
        </w:tc>
      </w:tr>
      <w:tr w:rsidR="00A81A9D" w14:paraId="41B005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single" w:sz="2" w:space="0" w:color="E2E5E9"/>
            </w:tcBorders>
            <w:shd w:val="clear" w:color="auto" w:fill="F4F5F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82" w14:textId="77777777" w:rsidR="00A81A9D" w:rsidRDefault="00000000">
            <w:r>
              <w:rPr>
                <w:b/>
                <w:bCs/>
                <w:color w:val="1A2332"/>
                <w:sz w:val="18"/>
                <w:szCs w:val="18"/>
              </w:rPr>
              <w:t>Footer / CTA strip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83" w14:textId="77777777" w:rsidR="00A81A9D" w:rsidRDefault="00000000">
            <w:r>
              <w:rPr>
                <w:sz w:val="18"/>
                <w:szCs w:val="18"/>
              </w:rPr>
              <w:t xml:space="preserve">Primary amber CTA + keyboard hint ('or press Enter'). </w:t>
            </w:r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 with secondary ghost action if needed.</w:t>
            </w:r>
          </w:p>
        </w:tc>
      </w:tr>
    </w:tbl>
    <w:p w14:paraId="41B00585" w14:textId="77777777" w:rsidR="00A81A9D" w:rsidRDefault="00A81A9D">
      <w:pPr>
        <w:spacing w:before="240"/>
      </w:pPr>
    </w:p>
    <w:p w14:paraId="41B00586" w14:textId="77777777" w:rsidR="00A81A9D" w:rsidRDefault="00000000">
      <w:r>
        <w:br w:type="page"/>
      </w:r>
    </w:p>
    <w:p w14:paraId="41B00587" w14:textId="77777777" w:rsidR="00A81A9D" w:rsidRDefault="00000000">
      <w:pPr>
        <w:spacing w:before="480" w:after="60"/>
      </w:pPr>
      <w:r>
        <w:rPr>
          <w:b/>
          <w:bCs/>
          <w:color w:val="B8860B"/>
          <w:spacing w:val="80"/>
          <w:sz w:val="16"/>
          <w:szCs w:val="16"/>
        </w:rPr>
        <w:lastRenderedPageBreak/>
        <w:t>SECTION 05</w:t>
      </w:r>
    </w:p>
    <w:p w14:paraId="41B00588" w14:textId="77777777" w:rsidR="00A81A9D" w:rsidRDefault="00000000">
      <w:pPr>
        <w:pStyle w:val="Heading1"/>
      </w:pPr>
      <w:r>
        <w:t>Copy and UX Tone</w:t>
      </w:r>
    </w:p>
    <w:p w14:paraId="41B00589" w14:textId="77777777" w:rsidR="00A81A9D" w:rsidRDefault="00000000">
      <w:pPr>
        <w:spacing w:after="140"/>
      </w:pPr>
      <w:r>
        <w:t>Design is not just visual. The words inside the tool — labels, placeholders, helper text, error messages — are part of the design. They are the first thing a rep reads when they open a /</w:t>
      </w:r>
      <w:proofErr w:type="spellStart"/>
      <w:r>
        <w:t>Znith</w:t>
      </w:r>
      <w:proofErr w:type="spellEnd"/>
      <w:r>
        <w:t xml:space="preserve"> tool, and the first thing that either builds or undermines confidence.</w:t>
      </w:r>
    </w:p>
    <w:p w14:paraId="41B0058A" w14:textId="77777777" w:rsidR="00A81A9D" w:rsidRDefault="00A81A9D">
      <w:pPr>
        <w:spacing w:before="80"/>
      </w:pPr>
    </w:p>
    <w:p w14:paraId="41B0058B" w14:textId="77777777" w:rsidR="00A81A9D" w:rsidRDefault="00000000">
      <w:pPr>
        <w:pStyle w:val="Heading2"/>
      </w:pPr>
      <w:r>
        <w:t>Placeholder text</w:t>
      </w:r>
    </w:p>
    <w:p w14:paraId="41B0058C" w14:textId="77777777" w:rsidR="00A81A9D" w:rsidRDefault="00000000">
      <w:pPr>
        <w:spacing w:after="140"/>
      </w:pPr>
      <w:r>
        <w:t>V1 uses placeholders like 'e.g. Accelerate revenue by 30% in FY25'. This is the right instinct — concrete examples lower the barrier to entry. Refine this principle:</w:t>
      </w:r>
    </w:p>
    <w:p w14:paraId="41B0058D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Placeholders should show what a great answer looks like, not just any answer</w:t>
      </w:r>
    </w:p>
    <w:p w14:paraId="41B0058E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Keep them under 60 characters — long placeholders crowd the input on smaller screens</w:t>
      </w:r>
    </w:p>
    <w:p w14:paraId="41B0058F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Never use generic placeholders like 'Enter value here' or 'Type your response'</w:t>
      </w:r>
    </w:p>
    <w:p w14:paraId="41B00590" w14:textId="77777777" w:rsidR="00A81A9D" w:rsidRDefault="00A81A9D">
      <w:pPr>
        <w:spacing w:before="200"/>
      </w:pPr>
    </w:p>
    <w:p w14:paraId="41B00591" w14:textId="77777777" w:rsidR="00A81A9D" w:rsidRDefault="00000000">
      <w:pPr>
        <w:pStyle w:val="Heading2"/>
      </w:pPr>
      <w:r>
        <w:t>Stage titles</w:t>
      </w:r>
    </w:p>
    <w:p w14:paraId="41B00592" w14:textId="77777777" w:rsidR="00A81A9D" w:rsidRDefault="00000000">
      <w:pPr>
        <w:spacing w:after="140"/>
      </w:pPr>
      <w:r>
        <w:t>Each stage title should name what the user is doing, not what the system is doing. 'Strategic Initiatives' is a system label. 'What are you trying to achieve?' is a user prompt. The latter is faster to parse and less intimidating.</w:t>
      </w:r>
    </w:p>
    <w:p w14:paraId="41B00593" w14:textId="77777777" w:rsidR="00A81A9D" w:rsidRDefault="00A81A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00"/>
        <w:gridCol w:w="4960"/>
      </w:tblGrid>
      <w:tr w:rsidR="00A81A9D" w14:paraId="41B005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94" w14:textId="77777777" w:rsidR="00A81A9D" w:rsidRDefault="00000000">
            <w:r>
              <w:rPr>
                <w:b/>
                <w:bCs/>
                <w:color w:val="E11D48"/>
                <w:sz w:val="16"/>
                <w:szCs w:val="16"/>
              </w:rPr>
              <w:t>Instead of: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B00595" w14:textId="77777777" w:rsidR="00A81A9D" w:rsidRDefault="00A81A9D"/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B00596" w14:textId="77777777" w:rsidR="00A81A9D" w:rsidRDefault="00000000">
            <w:r>
              <w:rPr>
                <w:b/>
                <w:bCs/>
                <w:color w:val="16A34A"/>
                <w:sz w:val="16"/>
                <w:szCs w:val="16"/>
              </w:rPr>
              <w:t>Try:</w:t>
            </w:r>
          </w:p>
        </w:tc>
      </w:tr>
      <w:tr w:rsidR="00A81A9D" w14:paraId="41B005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98" w14:textId="77777777" w:rsidR="00A81A9D" w:rsidRDefault="00000000">
            <w:r>
              <w:rPr>
                <w:sz w:val="18"/>
                <w:szCs w:val="18"/>
              </w:rPr>
              <w:t>Strategic Initiatives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B00599" w14:textId="77777777" w:rsidR="00A81A9D" w:rsidRDefault="00A81A9D"/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9A" w14:textId="77777777" w:rsidR="00A81A9D" w:rsidRDefault="00000000">
            <w:r>
              <w:rPr>
                <w:sz w:val="18"/>
                <w:szCs w:val="18"/>
              </w:rPr>
              <w:t>What does the account need to achieve?</w:t>
            </w:r>
          </w:p>
        </w:tc>
      </w:tr>
      <w:tr w:rsidR="00A81A9D" w14:paraId="41B005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9C" w14:textId="77777777" w:rsidR="00A81A9D" w:rsidRDefault="00000000">
            <w:r>
              <w:rPr>
                <w:sz w:val="18"/>
                <w:szCs w:val="18"/>
              </w:rPr>
              <w:t>Qualification Matrix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B0059D" w14:textId="77777777" w:rsidR="00A81A9D" w:rsidRDefault="00A81A9D"/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9E" w14:textId="77777777" w:rsidR="00A81A9D" w:rsidRDefault="00000000">
            <w:r>
              <w:rPr>
                <w:sz w:val="18"/>
                <w:szCs w:val="18"/>
              </w:rPr>
              <w:t>Is this deal worth pursuing?</w:t>
            </w:r>
          </w:p>
        </w:tc>
      </w:tr>
      <w:tr w:rsidR="00A81A9D" w14:paraId="41B005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A0" w14:textId="77777777" w:rsidR="00A81A9D" w:rsidRDefault="00000000">
            <w:r>
              <w:rPr>
                <w:sz w:val="18"/>
                <w:szCs w:val="18"/>
              </w:rPr>
              <w:t>Value Proposition Synthesis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B005A1" w14:textId="77777777" w:rsidR="00A81A9D" w:rsidRDefault="00A81A9D"/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single" w:sz="1" w:space="0" w:color="E2E5E9"/>
              <w:right w:val="none" w:sz="0" w:space="0" w:color="FFFFFF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005A2" w14:textId="77777777" w:rsidR="00A81A9D" w:rsidRDefault="00000000">
            <w:r>
              <w:rPr>
                <w:sz w:val="18"/>
                <w:szCs w:val="18"/>
              </w:rPr>
              <w:t>Why does this deal matter to them?</w:t>
            </w:r>
          </w:p>
        </w:tc>
      </w:tr>
    </w:tbl>
    <w:p w14:paraId="41B005A4" w14:textId="77777777" w:rsidR="00A81A9D" w:rsidRDefault="00A81A9D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"/>
        <w:gridCol w:w="9114"/>
      </w:tblGrid>
      <w:tr w:rsidR="00A81A9D" w14:paraId="41B005A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8" w:space="0" w:color="B8860B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41B005A5" w14:textId="77777777" w:rsidR="00A81A9D" w:rsidRDefault="00A81A9D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B005A6" w14:textId="77777777" w:rsidR="00A81A9D" w:rsidRDefault="00000000">
            <w:pPr>
              <w:spacing w:after="6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The test  </w:t>
            </w:r>
          </w:p>
          <w:p w14:paraId="41B005A7" w14:textId="77777777" w:rsidR="00A81A9D" w:rsidRDefault="00000000">
            <w:r>
              <w:rPr>
                <w:sz w:val="20"/>
                <w:szCs w:val="20"/>
              </w:rPr>
              <w:t>Read your stage title out loud. If it sounds like a PowerPoint slide title, rewrite it as a question a smart colleague would ask you before a call.</w:t>
            </w:r>
          </w:p>
        </w:tc>
      </w:tr>
    </w:tbl>
    <w:p w14:paraId="41B005A9" w14:textId="77777777" w:rsidR="00A81A9D" w:rsidRDefault="00A81A9D">
      <w:pPr>
        <w:spacing w:before="240"/>
      </w:pPr>
    </w:p>
    <w:p w14:paraId="41B005AA" w14:textId="77777777" w:rsidR="00A81A9D" w:rsidRDefault="00000000">
      <w:pPr>
        <w:pStyle w:val="Heading2"/>
      </w:pPr>
      <w:r>
        <w:t>Loading and processing states</w:t>
      </w:r>
    </w:p>
    <w:p w14:paraId="41B005AB" w14:textId="77777777" w:rsidR="00A81A9D" w:rsidRDefault="00000000">
      <w:pPr>
        <w:spacing w:after="140"/>
      </w:pPr>
      <w:r>
        <w:t>When a /</w:t>
      </w:r>
      <w:proofErr w:type="spellStart"/>
      <w:r>
        <w:t>Znith</w:t>
      </w:r>
      <w:proofErr w:type="spellEnd"/>
      <w:r>
        <w:t xml:space="preserve"> tool is calling the API and generating output, that moment is either a confidence builder or an anxiety point. Make it a confidence builder.</w:t>
      </w:r>
    </w:p>
    <w:p w14:paraId="41B005AC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Show what is happening in plain language: 'Analyzing company profile...' not 'Loading...'</w:t>
      </w:r>
    </w:p>
    <w:p w14:paraId="41B005AD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Use an amber progress indicator — it connects the wait state to the brand</w:t>
      </w:r>
    </w:p>
    <w:p w14:paraId="41B005AE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If generation takes more than 3 seconds, show a reassuring intermediate message: 'Cross-referencing pain points...' or 'Building your narrative...'</w:t>
      </w:r>
    </w:p>
    <w:p w14:paraId="41B005AF" w14:textId="77777777" w:rsidR="00A81A9D" w:rsidRDefault="00A81A9D">
      <w:pPr>
        <w:spacing w:before="240"/>
      </w:pPr>
    </w:p>
    <w:p w14:paraId="41B005B0" w14:textId="77777777" w:rsidR="00A81A9D" w:rsidRDefault="00000000">
      <w:r>
        <w:br w:type="page"/>
      </w:r>
    </w:p>
    <w:p w14:paraId="41B005B1" w14:textId="77777777" w:rsidR="00A81A9D" w:rsidRDefault="00000000">
      <w:pPr>
        <w:spacing w:before="480" w:after="60"/>
      </w:pPr>
      <w:r>
        <w:rPr>
          <w:b/>
          <w:bCs/>
          <w:color w:val="B8860B"/>
          <w:spacing w:val="80"/>
          <w:sz w:val="16"/>
          <w:szCs w:val="16"/>
        </w:rPr>
        <w:lastRenderedPageBreak/>
        <w:t>SECTION 06</w:t>
      </w:r>
    </w:p>
    <w:p w14:paraId="41B005B2" w14:textId="77777777" w:rsidR="00A81A9D" w:rsidRDefault="00000000">
      <w:pPr>
        <w:pStyle w:val="Heading1"/>
      </w:pPr>
      <w:r>
        <w:t>Designing for Adoption</w:t>
      </w:r>
    </w:p>
    <w:p w14:paraId="41B005B3" w14:textId="77777777" w:rsidR="00A81A9D" w:rsidRDefault="00000000">
      <w:pPr>
        <w:spacing w:after="140"/>
      </w:pPr>
      <w:r>
        <w:t>A tool that nobody uses is not a tool. Adoption does not happen because something looks good — it happens because it is faster than the alternative, produces output that people trust, and does not require training to start.</w:t>
      </w:r>
    </w:p>
    <w:p w14:paraId="41B005B4" w14:textId="77777777" w:rsidR="00A81A9D" w:rsidRDefault="00000000">
      <w:pPr>
        <w:spacing w:after="140"/>
      </w:pPr>
      <w:r>
        <w:t>These principles apply specifically to the Conga rollout context.</w:t>
      </w:r>
    </w:p>
    <w:p w14:paraId="41B005B5" w14:textId="77777777" w:rsidR="00A81A9D" w:rsidRDefault="00A81A9D">
      <w:pPr>
        <w:spacing w:before="80"/>
      </w:pPr>
    </w:p>
    <w:p w14:paraId="41B005B6" w14:textId="77777777" w:rsidR="00A81A9D" w:rsidRDefault="00000000">
      <w:pPr>
        <w:pStyle w:val="Heading2"/>
      </w:pPr>
      <w:r>
        <w:t>The 30-second test</w:t>
      </w:r>
    </w:p>
    <w:p w14:paraId="41B005B7" w14:textId="77777777" w:rsidR="00A81A9D" w:rsidRDefault="00000000">
      <w:pPr>
        <w:spacing w:after="140"/>
      </w:pPr>
      <w:r>
        <w:t>Every /</w:t>
      </w:r>
      <w:proofErr w:type="spellStart"/>
      <w:r>
        <w:t>Znith</w:t>
      </w:r>
      <w:proofErr w:type="spellEnd"/>
      <w:r>
        <w:t xml:space="preserve"> tool should pass this: a rep who has never seen the tool should be able to understand what it does, complete their first input, and see useful output within 30 seconds — with no instructions read.</w:t>
      </w:r>
    </w:p>
    <w:p w14:paraId="41B005B8" w14:textId="77777777" w:rsidR="00A81A9D" w:rsidRDefault="00000000">
      <w:pPr>
        <w:spacing w:after="140"/>
      </w:pPr>
      <w:r>
        <w:t>Check each tool against these questions:</w:t>
      </w:r>
    </w:p>
    <w:p w14:paraId="41B005B9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Is the first input field immediately obvious? (No scrolling, no tab navigation to find it)</w:t>
      </w:r>
    </w:p>
    <w:p w14:paraId="41B005BA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Does the stage title tell the rep exactly what kind of information to provide?</w:t>
      </w:r>
    </w:p>
    <w:p w14:paraId="41B005BB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Is the CTA labeled with what happens next, not just 'Continue'? ('Build my account brief' beats 'Continue')</w:t>
      </w:r>
    </w:p>
    <w:p w14:paraId="41B005BC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When output appears, is the most important finding visible without scrolling?</w:t>
      </w:r>
    </w:p>
    <w:p w14:paraId="41B005BD" w14:textId="77777777" w:rsidR="00A81A9D" w:rsidRDefault="00A81A9D">
      <w:pPr>
        <w:spacing w:before="200"/>
      </w:pPr>
    </w:p>
    <w:p w14:paraId="41B005BE" w14:textId="77777777" w:rsidR="00A81A9D" w:rsidRDefault="00000000">
      <w:pPr>
        <w:pStyle w:val="Heading2"/>
      </w:pPr>
      <w:r>
        <w:t>Progressive disclosure</w:t>
      </w:r>
    </w:p>
    <w:p w14:paraId="41B005BF" w14:textId="77777777" w:rsidR="00A81A9D" w:rsidRDefault="00000000">
      <w:pPr>
        <w:spacing w:after="140"/>
      </w:pPr>
      <w:r>
        <w:t xml:space="preserve">Sales reps are </w:t>
      </w:r>
      <w:proofErr w:type="gramStart"/>
      <w:r>
        <w:t>time-pressed</w:t>
      </w:r>
      <w:proofErr w:type="gramEnd"/>
      <w:r>
        <w:t>. The tools should default to showing as little as possible while still being useful — and reveal more only when the rep asks for it.</w:t>
      </w:r>
    </w:p>
    <w:p w14:paraId="41B005C0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Default to the simplest input mode. Show advanced fields under an expandable 'More context' option.</w:t>
      </w:r>
    </w:p>
    <w:p w14:paraId="41B005C1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Output should start with the 2–3 things that will most immediately help in the conversation. Put supporting detail below a fold.</w:t>
      </w:r>
    </w:p>
    <w:p w14:paraId="41B005C2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If a stage has optional fields, mark them clearly as optional — and mean it. Optional fields should never meaningfully change the output quality.</w:t>
      </w:r>
    </w:p>
    <w:p w14:paraId="41B005C3" w14:textId="77777777" w:rsidR="00A81A9D" w:rsidRDefault="00A81A9D">
      <w:pPr>
        <w:spacing w:before="200"/>
      </w:pPr>
    </w:p>
    <w:p w14:paraId="41B005C4" w14:textId="77777777" w:rsidR="00A81A9D" w:rsidRDefault="00000000">
      <w:pPr>
        <w:pStyle w:val="Heading2"/>
      </w:pPr>
      <w:r>
        <w:t>Trust signals</w:t>
      </w:r>
    </w:p>
    <w:p w14:paraId="41B005C5" w14:textId="77777777" w:rsidR="00A81A9D" w:rsidRDefault="00000000">
      <w:pPr>
        <w:spacing w:after="140"/>
      </w:pPr>
      <w:r>
        <w:t>When /</w:t>
      </w:r>
      <w:proofErr w:type="spellStart"/>
      <w:r>
        <w:t>Znith</w:t>
      </w:r>
      <w:proofErr w:type="spellEnd"/>
      <w:r>
        <w:t xml:space="preserve"> generates output, the rep needs to trust it enough to use it on a real call. These elements build that trust:</w:t>
      </w:r>
    </w:p>
    <w:p w14:paraId="41B005C6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Show where the output came from: 'Based on your input + public company data' or similar. Not detailed, just honest.</w:t>
      </w:r>
    </w:p>
    <w:p w14:paraId="41B005C7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Use confident, direct language in outputs — no hedging, no 'you might want to consider...'</w:t>
      </w:r>
    </w:p>
    <w:p w14:paraId="41B005C8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Include one explicit confidence or relevance indicator per output (score, tier, or flag). Reps need a quick read before they dive into body copy.</w:t>
      </w:r>
    </w:p>
    <w:p w14:paraId="41B005C9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Let reps edit outputs before they use them. A tool that locks output feels like it doesn't trust the rep.</w:t>
      </w:r>
    </w:p>
    <w:p w14:paraId="41B005CA" w14:textId="77777777" w:rsidR="00A81A9D" w:rsidRDefault="00A81A9D">
      <w:pPr>
        <w:spacing w:before="200"/>
      </w:pPr>
    </w:p>
    <w:p w14:paraId="41B005CB" w14:textId="77777777" w:rsidR="00A81A9D" w:rsidRDefault="00000000">
      <w:pPr>
        <w:pStyle w:val="Heading2"/>
      </w:pPr>
      <w:r>
        <w:t>Handling failure gracefully</w:t>
      </w:r>
    </w:p>
    <w:p w14:paraId="41B005CC" w14:textId="77777777" w:rsidR="00A81A9D" w:rsidRDefault="00000000">
      <w:pPr>
        <w:spacing w:after="140"/>
      </w:pPr>
      <w:r>
        <w:t>When a tool fails — API timeout, insufficient input, ambiguous data — the response should never be a raw error. It should be a redirect.</w:t>
      </w:r>
    </w:p>
    <w:p w14:paraId="41B005CD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Lead with what the rep can do: 'We couldn't find enough public data on this account. Add a few key details about the business and try again.'</w:t>
      </w:r>
    </w:p>
    <w:p w14:paraId="41B005CE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Never show error codes, stack traces, or technical messages in the sales UI</w:t>
      </w:r>
    </w:p>
    <w:p w14:paraId="41B005CF" w14:textId="77777777" w:rsidR="00A81A9D" w:rsidRDefault="00000000">
      <w:pPr>
        <w:pStyle w:val="ListParagraph"/>
        <w:numPr>
          <w:ilvl w:val="0"/>
          <w:numId w:val="2"/>
        </w:numPr>
        <w:spacing w:before="40" w:after="40"/>
      </w:pPr>
      <w:r>
        <w:t>Offer a fallback path: 'Skip this step and come back later' should always be available</w:t>
      </w:r>
    </w:p>
    <w:p w14:paraId="41B005D0" w14:textId="77777777" w:rsidR="00A81A9D" w:rsidRDefault="00A81A9D">
      <w:pPr>
        <w:spacing w:before="240"/>
      </w:pPr>
    </w:p>
    <w:p w14:paraId="41B005D1" w14:textId="77777777" w:rsidR="00A81A9D" w:rsidRDefault="00000000">
      <w:r>
        <w:br w:type="page"/>
      </w:r>
    </w:p>
    <w:p w14:paraId="41B005D2" w14:textId="77777777" w:rsidR="00A81A9D" w:rsidRDefault="00000000">
      <w:pPr>
        <w:spacing w:before="480" w:after="60"/>
      </w:pPr>
      <w:r>
        <w:rPr>
          <w:b/>
          <w:bCs/>
          <w:color w:val="B8860B"/>
          <w:spacing w:val="80"/>
          <w:sz w:val="16"/>
          <w:szCs w:val="16"/>
        </w:rPr>
        <w:lastRenderedPageBreak/>
        <w:t>CLOSING</w:t>
      </w:r>
    </w:p>
    <w:p w14:paraId="41B005D3" w14:textId="77777777" w:rsidR="00A81A9D" w:rsidRDefault="00000000">
      <w:pPr>
        <w:pStyle w:val="Heading1"/>
      </w:pPr>
      <w:r>
        <w:t>What stays, what changes</w:t>
      </w:r>
    </w:p>
    <w:p w14:paraId="41B005D4" w14:textId="77777777" w:rsidR="00A81A9D" w:rsidRDefault="00000000">
      <w:pPr>
        <w:spacing w:after="140"/>
      </w:pPr>
      <w:r>
        <w:t>To close this playbook, here is the explicit accounting of what should be preserved from v1 and what should evolve as the design moves to a lighter, adoption-optimized theme.</w:t>
      </w:r>
    </w:p>
    <w:p w14:paraId="41B005D5" w14:textId="77777777" w:rsidR="00A81A9D" w:rsidRDefault="00A81A9D">
      <w:pPr>
        <w:spacing w:before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A81A9D" w14:paraId="41B005E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41B005D6" w14:textId="77777777" w:rsidR="00A81A9D" w:rsidRDefault="00000000">
            <w:pPr>
              <w:spacing w:after="120"/>
            </w:pPr>
            <w:r>
              <w:rPr>
                <w:b/>
                <w:bCs/>
                <w:color w:val="16A34A"/>
                <w:sz w:val="18"/>
                <w:szCs w:val="18"/>
              </w:rPr>
              <w:t>KEEP FROM V1</w:t>
            </w:r>
          </w:p>
          <w:p w14:paraId="41B005D7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Chamfer corner system — 10px and 5px clip-paths</w:t>
            </w:r>
          </w:p>
          <w:p w14:paraId="41B005D8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Three-font hierarchy — Epilogue, Barlow, IBM Plex Mono</w:t>
            </w:r>
          </w:p>
          <w:p w14:paraId="41B005D9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Amber (#B8860B) as the system accent color</w:t>
            </w:r>
          </w:p>
          <w:p w14:paraId="41B005DA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Per-module color logic — the six-color module system</w:t>
            </w:r>
          </w:p>
          <w:p w14:paraId="41B005DB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Sticky footer with /</w:t>
            </w:r>
            <w:proofErr w:type="spellStart"/>
            <w:r>
              <w:t>Znith</w:t>
            </w:r>
            <w:proofErr w:type="spellEnd"/>
            <w:r>
              <w:t xml:space="preserve"> wordmark + tool name + version</w:t>
            </w:r>
          </w:p>
          <w:p w14:paraId="41B005DC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Header wordmark with slash prefix</w:t>
            </w:r>
          </w:p>
          <w:p w14:paraId="41B005DD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Stage-based layout structure</w:t>
            </w:r>
          </w:p>
          <w:p w14:paraId="41B005DE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Keyboard hint ('or press Enter') micro-copy</w:t>
            </w:r>
          </w:p>
          <w:p w14:paraId="41B005DF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Progress pip glow in amber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41B005E0" w14:textId="77777777" w:rsidR="00A81A9D" w:rsidRDefault="00000000">
            <w:pPr>
              <w:spacing w:after="120"/>
            </w:pPr>
            <w:r>
              <w:rPr>
                <w:b/>
                <w:bCs/>
                <w:color w:val="E11D48"/>
                <w:sz w:val="18"/>
                <w:szCs w:val="18"/>
              </w:rPr>
              <w:t>CHANGE IN V2</w:t>
            </w:r>
          </w:p>
          <w:p w14:paraId="41B005E1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Background: #060503 → #F4F5F6 (Mist)</w:t>
            </w:r>
          </w:p>
          <w:p w14:paraId="41B005E2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Card surface: #181714 → #FFFFFF (White)</w:t>
            </w:r>
          </w:p>
          <w:p w14:paraId="41B005E3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Body text: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255,255,255,0.85) → #2D3748</w:t>
            </w:r>
          </w:p>
          <w:p w14:paraId="41B005E4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Muted text: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255,255,255,0.45) → #4A5568 (Slate)</w:t>
            </w:r>
          </w:p>
          <w:p w14:paraId="41B005E5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Faint/label text: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255,255,255,0.20) → #718096</w:t>
            </w:r>
          </w:p>
          <w:p w14:paraId="41B005E6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Module accents: full backgrounds → border + badge only</w:t>
            </w:r>
          </w:p>
          <w:p w14:paraId="41B005E7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Label size minimum: 9px → 11px</w:t>
            </w:r>
          </w:p>
          <w:p w14:paraId="41B005E8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Stage titles: noun phrases → action questions</w:t>
            </w:r>
          </w:p>
          <w:p w14:paraId="41B005E9" w14:textId="77777777" w:rsidR="00A81A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CTA labels: generic ('Continue') → specific ('Build Brief')</w:t>
            </w:r>
          </w:p>
        </w:tc>
      </w:tr>
    </w:tbl>
    <w:p w14:paraId="41B005EB" w14:textId="77777777" w:rsidR="00A81A9D" w:rsidRDefault="00A81A9D">
      <w:pPr>
        <w:spacing w:before="240"/>
      </w:pPr>
    </w:p>
    <w:p w14:paraId="41B005EC" w14:textId="77777777" w:rsidR="00A81A9D" w:rsidRDefault="00A81A9D">
      <w:pPr>
        <w:pBdr>
          <w:bottom w:val="single" w:sz="4" w:space="1" w:color="B8860B"/>
        </w:pBdr>
        <w:spacing w:after="240"/>
      </w:pPr>
    </w:p>
    <w:p w14:paraId="41B005ED" w14:textId="77777777" w:rsidR="00A81A9D" w:rsidRDefault="00A81A9D">
      <w:pPr>
        <w:spacing w:before="120"/>
      </w:pPr>
    </w:p>
    <w:p w14:paraId="41B005EE" w14:textId="77777777" w:rsidR="00A81A9D" w:rsidRDefault="00000000">
      <w:pPr>
        <w:jc w:val="center"/>
      </w:pPr>
      <w:r>
        <w:rPr>
          <w:i/>
          <w:iCs/>
          <w:color w:val="4A5568"/>
          <w:sz w:val="18"/>
          <w:szCs w:val="18"/>
        </w:rPr>
        <w:t>/</w:t>
      </w:r>
      <w:proofErr w:type="spellStart"/>
      <w:r>
        <w:rPr>
          <w:i/>
          <w:iCs/>
          <w:color w:val="4A5568"/>
          <w:sz w:val="18"/>
          <w:szCs w:val="18"/>
        </w:rPr>
        <w:t>Znith</w:t>
      </w:r>
      <w:proofErr w:type="spellEnd"/>
      <w:r>
        <w:rPr>
          <w:i/>
          <w:iCs/>
          <w:color w:val="4A5568"/>
          <w:sz w:val="18"/>
          <w:szCs w:val="18"/>
        </w:rPr>
        <w:t xml:space="preserve"> Design Playbook </w:t>
      </w:r>
      <w:proofErr w:type="gramStart"/>
      <w:r>
        <w:rPr>
          <w:i/>
          <w:iCs/>
          <w:color w:val="4A5568"/>
          <w:sz w:val="18"/>
          <w:szCs w:val="18"/>
        </w:rPr>
        <w:t>v1.0  ·</w:t>
      </w:r>
      <w:proofErr w:type="gramEnd"/>
      <w:r>
        <w:rPr>
          <w:i/>
          <w:iCs/>
          <w:color w:val="4A5568"/>
          <w:sz w:val="18"/>
          <w:szCs w:val="18"/>
        </w:rPr>
        <w:t xml:space="preserve">  Not for external distribution</w:t>
      </w:r>
    </w:p>
    <w:sectPr w:rsidR="00A81A9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DDB7B" w14:textId="77777777" w:rsidR="008F3D99" w:rsidRDefault="008F3D99">
      <w:r>
        <w:separator/>
      </w:r>
    </w:p>
  </w:endnote>
  <w:endnote w:type="continuationSeparator" w:id="0">
    <w:p w14:paraId="4AAAA0DA" w14:textId="77777777" w:rsidR="008F3D99" w:rsidRDefault="008F3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005F0" w14:textId="2912BCCF" w:rsidR="00A81A9D" w:rsidRDefault="00000000">
    <w:pPr>
      <w:pBdr>
        <w:top w:val="single" w:sz="2" w:space="1" w:color="E2E5E9"/>
      </w:pBdr>
      <w:tabs>
        <w:tab w:val="right" w:pos="9026"/>
      </w:tabs>
    </w:pPr>
    <w:r>
      <w:rPr>
        <w:color w:val="4A5568"/>
        <w:sz w:val="16"/>
        <w:szCs w:val="16"/>
      </w:rPr>
      <w:t>Internal — Reeves Goepfert</w:t>
    </w:r>
    <w:r>
      <w:rPr>
        <w:sz w:val="16"/>
        <w:szCs w:val="16"/>
      </w:rPr>
      <w:tab/>
    </w:r>
    <w:r>
      <w:rPr>
        <w:color w:val="4A5568"/>
        <w:sz w:val="16"/>
        <w:szCs w:val="16"/>
      </w:rPr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926CF1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C3EC1" w14:textId="77777777" w:rsidR="008F3D99" w:rsidRDefault="008F3D99">
      <w:r>
        <w:separator/>
      </w:r>
    </w:p>
  </w:footnote>
  <w:footnote w:type="continuationSeparator" w:id="0">
    <w:p w14:paraId="60116013" w14:textId="77777777" w:rsidR="008F3D99" w:rsidRDefault="008F3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005EF" w14:textId="77777777" w:rsidR="00A81A9D" w:rsidRDefault="00000000">
    <w:pPr>
      <w:pBdr>
        <w:bottom w:val="single" w:sz="2" w:space="1" w:color="E2E5E9"/>
      </w:pBdr>
    </w:pPr>
    <w:r>
      <w:rPr>
        <w:b/>
        <w:bCs/>
        <w:color w:val="B8860B"/>
        <w:sz w:val="18"/>
        <w:szCs w:val="18"/>
      </w:rPr>
      <w:t>/</w:t>
    </w:r>
    <w:proofErr w:type="spellStart"/>
    <w:proofErr w:type="gramStart"/>
    <w:r>
      <w:rPr>
        <w:b/>
        <w:bCs/>
        <w:color w:val="B8860B"/>
        <w:sz w:val="18"/>
        <w:szCs w:val="18"/>
      </w:rPr>
      <w:t>Znith</w:t>
    </w:r>
    <w:proofErr w:type="spellEnd"/>
    <w:r>
      <w:rPr>
        <w:color w:val="4A5568"/>
        <w:sz w:val="18"/>
        <w:szCs w:val="18"/>
      </w:rPr>
      <w:t xml:space="preserve">  ·</w:t>
    </w:r>
    <w:proofErr w:type="gramEnd"/>
    <w:r>
      <w:rPr>
        <w:color w:val="4A5568"/>
        <w:sz w:val="18"/>
        <w:szCs w:val="18"/>
      </w:rPr>
      <w:t xml:space="preserve">  Design Playbook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9AA"/>
    <w:multiLevelType w:val="hybridMultilevel"/>
    <w:tmpl w:val="4D263F1A"/>
    <w:lvl w:ilvl="0" w:tplc="27A44A0E">
      <w:start w:val="1"/>
      <w:numFmt w:val="bullet"/>
      <w:lvlText w:val="–"/>
      <w:lvlJc w:val="left"/>
      <w:pPr>
        <w:ind w:left="480" w:hanging="240"/>
      </w:pPr>
    </w:lvl>
    <w:lvl w:ilvl="1" w:tplc="4AA63AA2">
      <w:numFmt w:val="decimal"/>
      <w:lvlText w:val=""/>
      <w:lvlJc w:val="left"/>
    </w:lvl>
    <w:lvl w:ilvl="2" w:tplc="A08A60AA">
      <w:numFmt w:val="decimal"/>
      <w:lvlText w:val=""/>
      <w:lvlJc w:val="left"/>
    </w:lvl>
    <w:lvl w:ilvl="3" w:tplc="EB62A8B0">
      <w:numFmt w:val="decimal"/>
      <w:lvlText w:val=""/>
      <w:lvlJc w:val="left"/>
    </w:lvl>
    <w:lvl w:ilvl="4" w:tplc="E72E737E">
      <w:numFmt w:val="decimal"/>
      <w:lvlText w:val=""/>
      <w:lvlJc w:val="left"/>
    </w:lvl>
    <w:lvl w:ilvl="5" w:tplc="0F0201DC">
      <w:numFmt w:val="decimal"/>
      <w:lvlText w:val=""/>
      <w:lvlJc w:val="left"/>
    </w:lvl>
    <w:lvl w:ilvl="6" w:tplc="B03A4020">
      <w:numFmt w:val="decimal"/>
      <w:lvlText w:val=""/>
      <w:lvlJc w:val="left"/>
    </w:lvl>
    <w:lvl w:ilvl="7" w:tplc="800817CE">
      <w:numFmt w:val="decimal"/>
      <w:lvlText w:val=""/>
      <w:lvlJc w:val="left"/>
    </w:lvl>
    <w:lvl w:ilvl="8" w:tplc="79541CE0">
      <w:numFmt w:val="decimal"/>
      <w:lvlText w:val=""/>
      <w:lvlJc w:val="left"/>
    </w:lvl>
  </w:abstractNum>
  <w:abstractNum w:abstractNumId="1" w15:restartNumberingAfterBreak="0">
    <w:nsid w:val="18AA5B13"/>
    <w:multiLevelType w:val="hybridMultilevel"/>
    <w:tmpl w:val="48F099F2"/>
    <w:lvl w:ilvl="0" w:tplc="71183A8A">
      <w:start w:val="1"/>
      <w:numFmt w:val="bullet"/>
      <w:lvlText w:val="●"/>
      <w:lvlJc w:val="left"/>
      <w:pPr>
        <w:ind w:left="720" w:hanging="360"/>
      </w:pPr>
    </w:lvl>
    <w:lvl w:ilvl="1" w:tplc="10143A3E">
      <w:start w:val="1"/>
      <w:numFmt w:val="bullet"/>
      <w:lvlText w:val="○"/>
      <w:lvlJc w:val="left"/>
      <w:pPr>
        <w:ind w:left="1440" w:hanging="360"/>
      </w:pPr>
    </w:lvl>
    <w:lvl w:ilvl="2" w:tplc="BF2EECFC">
      <w:start w:val="1"/>
      <w:numFmt w:val="bullet"/>
      <w:lvlText w:val="■"/>
      <w:lvlJc w:val="left"/>
      <w:pPr>
        <w:ind w:left="2160" w:hanging="360"/>
      </w:pPr>
    </w:lvl>
    <w:lvl w:ilvl="3" w:tplc="165C2F4E">
      <w:start w:val="1"/>
      <w:numFmt w:val="bullet"/>
      <w:lvlText w:val="●"/>
      <w:lvlJc w:val="left"/>
      <w:pPr>
        <w:ind w:left="2880" w:hanging="360"/>
      </w:pPr>
    </w:lvl>
    <w:lvl w:ilvl="4" w:tplc="2B187D70">
      <w:start w:val="1"/>
      <w:numFmt w:val="bullet"/>
      <w:lvlText w:val="○"/>
      <w:lvlJc w:val="left"/>
      <w:pPr>
        <w:ind w:left="3600" w:hanging="360"/>
      </w:pPr>
    </w:lvl>
    <w:lvl w:ilvl="5" w:tplc="C4A0EB38">
      <w:start w:val="1"/>
      <w:numFmt w:val="bullet"/>
      <w:lvlText w:val="■"/>
      <w:lvlJc w:val="left"/>
      <w:pPr>
        <w:ind w:left="4320" w:hanging="360"/>
      </w:pPr>
    </w:lvl>
    <w:lvl w:ilvl="6" w:tplc="7BC26772">
      <w:start w:val="1"/>
      <w:numFmt w:val="bullet"/>
      <w:lvlText w:val="●"/>
      <w:lvlJc w:val="left"/>
      <w:pPr>
        <w:ind w:left="5040" w:hanging="360"/>
      </w:pPr>
    </w:lvl>
    <w:lvl w:ilvl="7" w:tplc="1F929192">
      <w:start w:val="1"/>
      <w:numFmt w:val="bullet"/>
      <w:lvlText w:val="●"/>
      <w:lvlJc w:val="left"/>
      <w:pPr>
        <w:ind w:left="5760" w:hanging="360"/>
      </w:pPr>
    </w:lvl>
    <w:lvl w:ilvl="8" w:tplc="39A854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005112"/>
    <w:multiLevelType w:val="hybridMultilevel"/>
    <w:tmpl w:val="DB76FE62"/>
    <w:lvl w:ilvl="0" w:tplc="836C3090">
      <w:start w:val="1"/>
      <w:numFmt w:val="bullet"/>
      <w:lvlText w:val="◦"/>
      <w:lvlJc w:val="left"/>
      <w:pPr>
        <w:ind w:left="840" w:hanging="240"/>
      </w:pPr>
    </w:lvl>
    <w:lvl w:ilvl="1" w:tplc="8446017E">
      <w:numFmt w:val="decimal"/>
      <w:lvlText w:val=""/>
      <w:lvlJc w:val="left"/>
    </w:lvl>
    <w:lvl w:ilvl="2" w:tplc="80B88346">
      <w:numFmt w:val="decimal"/>
      <w:lvlText w:val=""/>
      <w:lvlJc w:val="left"/>
    </w:lvl>
    <w:lvl w:ilvl="3" w:tplc="7602CC1C">
      <w:numFmt w:val="decimal"/>
      <w:lvlText w:val=""/>
      <w:lvlJc w:val="left"/>
    </w:lvl>
    <w:lvl w:ilvl="4" w:tplc="FA10F1E4">
      <w:numFmt w:val="decimal"/>
      <w:lvlText w:val=""/>
      <w:lvlJc w:val="left"/>
    </w:lvl>
    <w:lvl w:ilvl="5" w:tplc="3F724E5E">
      <w:numFmt w:val="decimal"/>
      <w:lvlText w:val=""/>
      <w:lvlJc w:val="left"/>
    </w:lvl>
    <w:lvl w:ilvl="6" w:tplc="E454265E">
      <w:numFmt w:val="decimal"/>
      <w:lvlText w:val=""/>
      <w:lvlJc w:val="left"/>
    </w:lvl>
    <w:lvl w:ilvl="7" w:tplc="2E409FFE">
      <w:numFmt w:val="decimal"/>
      <w:lvlText w:val=""/>
      <w:lvlJc w:val="left"/>
    </w:lvl>
    <w:lvl w:ilvl="8" w:tplc="632CE90E">
      <w:numFmt w:val="decimal"/>
      <w:lvlText w:val=""/>
      <w:lvlJc w:val="left"/>
    </w:lvl>
  </w:abstractNum>
  <w:num w:numId="1" w16cid:durableId="1770276451">
    <w:abstractNumId w:val="1"/>
    <w:lvlOverride w:ilvl="0">
      <w:startOverride w:val="1"/>
    </w:lvlOverride>
  </w:num>
  <w:num w:numId="2" w16cid:durableId="815489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A9D"/>
    <w:rsid w:val="008F3D99"/>
    <w:rsid w:val="00926CF1"/>
    <w:rsid w:val="00A81A9D"/>
    <w:rsid w:val="00EB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00486"/>
  <w15:docId w15:val="{D798EAC7-975F-1E45-884B-1B6A07B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74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A2332"/>
      <w:sz w:val="52"/>
      <w:szCs w:val="52"/>
    </w:rPr>
  </w:style>
  <w:style w:type="paragraph" w:styleId="Heading2">
    <w:name w:val="heading 2"/>
    <w:uiPriority w:val="9"/>
    <w:unhideWhenUsed/>
    <w:qFormat/>
    <w:pPr>
      <w:spacing w:before="400" w:after="120"/>
      <w:outlineLvl w:val="1"/>
    </w:pPr>
    <w:rPr>
      <w:b/>
      <w:bCs/>
      <w:color w:val="1A233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2385</Words>
  <Characters>12384</Characters>
  <Application>Microsoft Office Word</Application>
  <DocSecurity>0</DocSecurity>
  <Lines>416</Lines>
  <Paragraphs>244</Paragraphs>
  <ScaleCrop>false</ScaleCrop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Reeves Goepfert</cp:lastModifiedBy>
  <cp:revision>2</cp:revision>
  <dcterms:created xsi:type="dcterms:W3CDTF">2026-04-16T05:57:00Z</dcterms:created>
  <dcterms:modified xsi:type="dcterms:W3CDTF">2026-04-16T05:58:00Z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dccfee-01fd-4312-8033-43d18efb0b7c_Enabled">
    <vt:lpwstr>true</vt:lpwstr>
  </property>
  <property fmtid="{D5CDD505-2E9C-101B-9397-08002B2CF9AE}" pid="3" name="MSIP_Label_2edccfee-01fd-4312-8033-43d18efb0b7c_SetDate">
    <vt:lpwstr>2026-04-16T05:58:16Z</vt:lpwstr>
  </property>
  <property fmtid="{D5CDD505-2E9C-101B-9397-08002B2CF9AE}" pid="4" name="MSIP_Label_2edccfee-01fd-4312-8033-43d18efb0b7c_Method">
    <vt:lpwstr>Standard</vt:lpwstr>
  </property>
  <property fmtid="{D5CDD505-2E9C-101B-9397-08002B2CF9AE}" pid="5" name="MSIP_Label_2edccfee-01fd-4312-8033-43d18efb0b7c_Name">
    <vt:lpwstr>Internal Use - General</vt:lpwstr>
  </property>
  <property fmtid="{D5CDD505-2E9C-101B-9397-08002B2CF9AE}" pid="6" name="MSIP_Label_2edccfee-01fd-4312-8033-43d18efb0b7c_SiteId">
    <vt:lpwstr>3a41ae53-fb35-4431-be7b-a0b3e1aee3c0</vt:lpwstr>
  </property>
  <property fmtid="{D5CDD505-2E9C-101B-9397-08002B2CF9AE}" pid="7" name="MSIP_Label_2edccfee-01fd-4312-8033-43d18efb0b7c_ActionId">
    <vt:lpwstr>1ea9a6e3-4259-4c96-baee-a2386f0bad6a</vt:lpwstr>
  </property>
  <property fmtid="{D5CDD505-2E9C-101B-9397-08002B2CF9AE}" pid="8" name="MSIP_Label_2edccfee-01fd-4312-8033-43d18efb0b7c_ContentBits">
    <vt:lpwstr>0</vt:lpwstr>
  </property>
  <property fmtid="{D5CDD505-2E9C-101B-9397-08002B2CF9AE}" pid="9" name="MSIP_Label_2edccfee-01fd-4312-8033-43d18efb0b7c_Tag">
    <vt:lpwstr>50, 3, 0, 1</vt:lpwstr>
  </property>
</Properties>
</file>