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Remote-Config &amp; Staged-Rollout — Write-Up</w:t>
      </w:r>
    </w:p>
    <w:p>
      <w:r>
        <w:rPr>
          <w:b w:val="0"/>
          <w:i/>
        </w:rPr>
        <w:t>**Verify before submitting:** Sections **1** and **2** below are drafted from this project's decision history and AI pairing notes. Pressure-test them against your own recollection before submission — especially which choices were yours vs the model's, and which corrections you made mid-build.</w:t>
      </w:r>
    </w:p>
    <w:p/>
    <w:p>
      <w:pPr>
        <w:pStyle w:val="Heading2"/>
      </w:pPr>
      <w:r>
        <w:t>1. What I asked the AI to do vs decided myself</w:t>
      </w:r>
    </w:p>
    <w:p>
      <w:r>
        <w:rPr>
          <w:b w:val="0"/>
          <w:i w:val="0"/>
        </w:rPr>
        <w:t>Delegated to AI (scaffolding and boilerplate): Clean Architecture folder skeleton per feature (domain, data, application, presentation); Freezed entities and bloc states/events; json_serializable DTOs and Retrofit client stubs; build_runner wiring; initial FlagEvaluator implementation and exhaustive unit-test outlines; task breakdown and commit sequencing; migration of shared widgets into core/widgets/; and drafting of test fixtures (scenario_users.dart, weather_bundle_fixture.dart).</w:t>
      </w:r>
    </w:p>
    <w:p>
      <w:r>
        <w:rPr>
          <w:b w:val="0"/>
          <w:i w:val="0"/>
        </w:rPr>
        <w:t>Owned by me (platform and product decisions): The six demo flags and the Config A / Config B matrix (rollout percentages, kill-switch on severe_weather_alert, layout_variant compact vs detailed). The strict evaluation order — kill-switch → enabled → rollout % — and explainable FlagEvaluation with bucket and reason. Rejecting Firebase Remote Config so the evaluation engine, bucketing algorithm, and kill-switch semantics remain transparent and testable in-repo. The four-layer split with Blocs in application/, not presentation/. Open-Meteo as the weather provider (no API key, CC BY attribution). Device location instead of hardcoded New York coordinates. FeatureGate as the only gating primitive so adding a flag is config + a wrap. Choosing FNV-1a over random or server-side assignment for deterministic client bucketing.</w:t>
      </w:r>
    </w:p>
    <w:p/>
    <w:p>
      <w:pPr>
        <w:pStyle w:val="Heading2"/>
      </w:pPr>
      <w:r>
        <w:t>2. Where I overrode / corrected / threw away AI output</w:t>
      </w:r>
    </w:p>
    <w:p>
      <w:pPr>
        <w:pStyle w:val="ListBullet"/>
      </w:pPr>
      <w:r>
        <w:t>Bottom navigation bar — AI copied a multi-tab pattern from design inspiration; removed it. This is a single-screen dashboard; dead nav added complexity with no product value.</w:t>
      </w:r>
    </w:p>
    <w:p>
      <w:pPr>
        <w:pStyle w:val="ListBullet"/>
      </w:pPr>
      <w:r>
        <w:t>lib/design/ + lib/static/ detour — Discarded the static-UI-then-migrate plan. UI now lives in each feature's presentation/ from the start; dev sample data sits behind FakeWeatherRepository at the DI boundary, not a parallel static app.</w:t>
      </w:r>
    </w:p>
    <w:p>
      <w:pPr>
        <w:pStyle w:val="ListBullet"/>
      </w:pPr>
      <w:r>
        <w:t>"API not working" false alarm — Bare Open-Meteo /v1/ returns Not Found by design; the issue was hitting the root path, not broken clients. Forecast/air-quality/geocoding paths work as documented.</w:t>
      </w:r>
    </w:p>
    <w:p>
      <w:pPr>
        <w:pStyle w:val="ListBullet"/>
      </w:pPr>
      <w:r>
        <w:t>Blocs in presentation/ — Moved RemoteConfigBloc and WeatherBloc into application/ to preserve inward dependencies and keep widgets thin.</w:t>
      </w:r>
    </w:p>
    <w:p>
      <w:pPr>
        <w:pStyle w:val="ListBullet"/>
      </w:pPr>
      <w:r>
        <w:t>Hardcoded NYC coordinates — Replaced with core/location (geolocator + reverse geocoding), typed location failures, and country-based top-five Other Cities.</w:t>
      </w:r>
    </w:p>
    <w:p>
      <w:pPr>
        <w:pStyle w:val="ListBullet"/>
      </w:pPr>
      <w:r>
        <w:t>Silent location fallback — Corrected so permission/unavailable surfaces a non-blocking notice while weather still loads from fallback constants.</w:t>
      </w:r>
    </w:p>
    <w:p/>
    <w:p>
      <w:pPr>
        <w:pStyle w:val="Heading2"/>
      </w:pPr>
      <w:r>
        <w:t>3. Biggest trade-offs and alternatives considered</w:t>
      </w:r>
    </w:p>
    <w:p>
      <w:r>
        <w:rPr>
          <w:b w:val="0"/>
          <w:i w:val="0"/>
        </w:rPr>
        <w:t>(a) On-device deterministic evaluation vs server-side evaluation</w:t>
      </w:r>
    </w:p>
    <w:p>
      <w:r>
        <w:rPr>
          <w:b w:val="0"/>
          <w:i w:val="0"/>
        </w:rPr>
        <w:t>*Chosen:* Client-side FlagEvaluator with FNV-1a bucketing; config + userId held in RemoteConfigBloc; FeatureGate reads cached evaluations.</w:t>
      </w:r>
    </w:p>
    <w:p>
      <w:r>
        <w:rPr>
          <w:b w:val="0"/>
          <w:i w:val="0"/>
        </w:rPr>
        <w:t>*Alternative:* Server assigns variants per user (LaunchDarkly-style) or evaluates on each request.</w:t>
      </w:r>
    </w:p>
    <w:p>
      <w:r>
        <w:rPr>
          <w:b w:val="0"/>
          <w:i w:val="0"/>
        </w:rPr>
        <w:t>*Why:* For this exercise, explainability and testability matter more than central targeting. The debug table shows bucket, reason, and variant for every flag — essential for demonstrating staged rollout. Offline config load works without a flag service SLA. Cost: changing rollout logic requires an app config push, not a server flip alone (partially offset by kill-switch and config stream).</w:t>
      </w:r>
    </w:p>
    <w:p>
      <w:r>
        <w:rPr>
          <w:b w:val="0"/>
          <w:i w:val="0"/>
        </w:rPr>
        <w:t>(b) Mocked config-as-asset vs real config backend</w:t>
      </w:r>
    </w:p>
    <w:p>
      <w:r>
        <w:rPr>
          <w:b w:val="0"/>
          <w:i w:val="0"/>
        </w:rPr>
        <w:t>*Chosen:* config_a.json / config_b.json bundled assets; RemoteConfigRepositoryImpl with in-memory state + broadcast stream; Retrofit interface ready for remote fetch.</w:t>
      </w:r>
    </w:p>
    <w:p>
      <w:r>
        <w:rPr>
          <w:b w:val="0"/>
          <w:i w:val="0"/>
        </w:rPr>
        <w:t>*Alternative:* Build a small config API from day one.</w:t>
      </w:r>
    </w:p>
    <w:p>
      <w:r>
        <w:rPr>
          <w:b w:val="0"/>
          <w:i w:val="0"/>
        </w:rPr>
        <w:t>*Why:* Scope and determinism — reviewers can diff JSON in PRs and run integration tests without infrastructure. The Retrofit seam proves the swap is real, not a permanent shortcut. Cost: no ETags, versioning, or multi-environment targeting yet (listed under "another day").</w:t>
      </w:r>
    </w:p>
    <w:p>
      <w:r>
        <w:rPr>
          <w:b w:val="0"/>
          <w:i w:val="0"/>
        </w:rPr>
        <w:t>(c) Client hash bucketing vs managed vendor (Firebase Remote Config / LaunchDarkly)</w:t>
      </w:r>
    </w:p>
    <w:p>
      <w:r>
        <w:rPr>
          <w:b w:val="0"/>
          <w:i w:val="0"/>
        </w:rPr>
        <w:t>*Chosen:* Owned pure-Dart evaluator.</w:t>
      </w:r>
    </w:p>
    <w:p>
      <w:r>
        <w:rPr>
          <w:b w:val="0"/>
          <w:i w:val="0"/>
        </w:rPr>
        <w:t>*Alternative:* Vendor SDK with built-in targeting, audit UI, and experimentation stats.</w:t>
      </w:r>
    </w:p>
    <w:p>
      <w:r>
        <w:rPr>
          <w:b w:val="0"/>
          <w:i w:val="0"/>
        </w:rPr>
        <w:t>*Why:* Exercise goal is to show you understand rollout mechanics, not integrate a black box. Hash bucketing is auditable in unit tests; kill-switch precedence is explicit code. Cost: no admin console, exposure analytics, or attribute targeting without building them.</w:t>
      </w:r>
    </w:p>
    <w:p/>
    <w:p>
      <w:pPr>
        <w:pStyle w:val="Heading2"/>
      </w:pPr>
      <w:r>
        <w:t>4. What's missing / another day</w:t>
      </w:r>
    </w:p>
    <w:p>
      <w:r>
        <w:rPr>
          <w:b w:val="0"/>
          <w:i w:val="0"/>
        </w:rPr>
        <w:t>Honest gaps for a production platform: schema validation on config load (reject rollout % outside 0–100, malformed flags); real config endpoint with caching, ETags, and version pins; sticky bucketing when rollout % or flag definitions change mid-experiment; richer targeting (country, app version, custom attributes beyond userId); exposure / analytics logging tied to evaluations; flag lifecycle tooling (expiry, owner, stale audits); more golden and scenario widget tests for every gated card combination; offline weather cache; and multi-provider weather fallback if Open-Meteo is slow or unavailable (IP timeout risk on first launch).</w:t>
      </w:r>
    </w:p>
    <w:p/>
    <w:p>
      <w:pPr>
        <w:pStyle w:val="Heading2"/>
      </w:pPr>
      <w:r>
        <w:t>5. Adoption &amp; safety (platform judgment)</w:t>
      </w:r>
    </w:p>
    <w:p>
      <w:r>
        <w:rPr>
          <w:b w:val="0"/>
          <w:i w:val="0"/>
        </w:rPr>
        <w:t>How teams own rollouts: Each flag has a named owner and lives in version-controlled config reviewed like code (PR + matrix diff). Naming convention: {surface}_{capability} (e.g. uv_index_card). Config B is not "prod" by default — environments map to config ids; promotion is a deliberate switch. Ramp policy: 0% dark launch → small % → measure → increase; never jump 0→100 on a high-risk surface.</w:t>
      </w:r>
    </w:p>
    <w:p>
      <w:r>
        <w:rPr>
          <w:b w:val="0"/>
          <w:i w:val="0"/>
        </w:rPr>
        <w:t>Guardrails and incidents they prevent:</w:t>
      </w:r>
    </w:p>
    <w:tbl>
      <w:tblPr>
        <w:tblStyle w:val="TableGrid"/>
        <w:tblW w:type="auto" w:w="0"/>
        <w:tblLook w:firstColumn="1" w:firstRow="1" w:lastColumn="0" w:lastRow="0" w:noHBand="0" w:noVBand="1" w:val="04A0"/>
      </w:tblPr>
      <w:tblGrid>
        <w:gridCol w:w="4320"/>
        <w:gridCol w:w="4320"/>
      </w:tblGrid>
      <w:tr>
        <w:tc>
          <w:tcPr>
            <w:tcW w:type="dxa" w:w="4320"/>
          </w:tcPr>
          <w:p>
            <w:r>
              <w:t>Guardrail</w:t>
            </w:r>
          </w:p>
        </w:tc>
        <w:tc>
          <w:tcPr>
            <w:tcW w:type="dxa" w:w="4320"/>
          </w:tcPr>
          <w:p>
            <w:r>
              <w:t>Prevents</w:t>
            </w:r>
          </w:p>
        </w:tc>
      </w:tr>
      <w:tr>
        <w:tc>
          <w:tcPr>
            <w:tcW w:type="dxa" w:w="4320"/>
          </w:tcPr>
          <w:p>
            <w:r>
              <w:t>Schema validation on load</w:t>
            </w:r>
          </w:p>
        </w:tc>
        <w:tc>
          <w:tcPr>
            <w:tcW w:type="dxa" w:w="4320"/>
          </w:tcPr>
          <w:p>
            <w:r>
              <w:t>Bad JSON shipping 150% rollout or breaking the parser at startup</w:t>
            </w:r>
          </w:p>
        </w:tc>
      </w:tr>
      <w:tr>
        <w:tc>
          <w:tcPr>
            <w:tcW w:type="dxa" w:w="4320"/>
          </w:tcPr>
          <w:p>
            <w:r>
              <w:t>Kill-switch **first** in evaluation order</w:t>
            </w:r>
          </w:p>
        </w:tc>
        <w:tc>
          <w:tcPr>
            <w:tcW w:type="dxa" w:w="4320"/>
          </w:tcPr>
          <w:p>
            <w:r>
              <w:t>Ops cannot be overridden by a stale high rollout % during an incident</w:t>
            </w:r>
          </w:p>
        </w:tc>
      </w:tr>
      <w:tr>
        <w:tc>
          <w:tcPr>
            <w:tcW w:type="dxa" w:w="4320"/>
          </w:tcPr>
          <w:p>
            <w:r>
              <w:t>Default-deny for unknown flag keys</w:t>
            </w:r>
          </w:p>
        </w:tc>
        <w:tc>
          <w:tcPr>
            <w:tcW w:type="dxa" w:w="4320"/>
          </w:tcPr>
          <w:p>
            <w:r>
              <w:t>Typos in `FeatureGate` silently showing UI — unknown keys evaluate off</w:t>
            </w:r>
          </w:p>
        </w:tc>
      </w:tr>
      <w:tr>
        <w:tc>
          <w:tcPr>
            <w:tcW w:type="dxa" w:w="4320"/>
          </w:tcPr>
          <w:p>
            <w:r>
              <w:t>Separation: ramp % vs kill-switch permissions</w:t>
            </w:r>
          </w:p>
        </w:tc>
        <w:tc>
          <w:tcPr>
            <w:tcW w:type="dxa" w:w="4320"/>
          </w:tcPr>
          <w:p>
            <w:r>
              <w:t>Junior config edit can't disable safety lever; on-call retains kill-switch</w:t>
            </w:r>
          </w:p>
        </w:tc>
      </w:tr>
      <w:tr>
        <w:tc>
          <w:tcPr>
            <w:tcW w:type="dxa" w:w="4320"/>
          </w:tcPr>
          <w:p>
            <w:r>
              <w:t>`FeatureGate` only in presentation</w:t>
            </w:r>
          </w:p>
        </w:tc>
        <w:tc>
          <w:tcPr>
            <w:tcW w:type="dxa" w:w="4320"/>
          </w:tcPr>
          <w:p>
            <w:r>
              <w:t>Business logic can't bypass gating in data layer</w:t>
            </w:r>
          </w:p>
        </w:tc>
      </w:tr>
      <w:tr>
        <w:tc>
          <w:tcPr>
            <w:tcW w:type="dxa" w:w="4320"/>
          </w:tcPr>
          <w:p>
            <w:r>
              <w:t>Integration test on config swap + kill-switch</w:t>
            </w:r>
          </w:p>
        </w:tc>
        <w:tc>
          <w:tcPr>
            <w:tcW w:type="dxa" w:w="4320"/>
          </w:tcPr>
          <w:p>
            <w:r>
              <w:t>Regressions where flags stop reacting to config changes</w:t>
            </w:r>
          </w:p>
        </w:tc>
      </w:tr>
    </w:tbl>
    <w:p/>
    <w:p>
      <w:pPr>
        <w:pStyle w:val="Heading2"/>
      </w:pPr>
      <w:r>
        <w:t>6. Metrics to advance a rollout &amp; avoiding flag debt</w:t>
      </w:r>
    </w:p>
    <w:p>
      <w:r>
        <w:rPr>
          <w:b w:val="0"/>
          <w:i w:val="0"/>
        </w:rPr>
        <w:t>Before increasing rollout %, hold the gated cohort (deterministic bucket) against a holdout and watch: crash-free sessions, error/exception rate, p95 latency on paths that touch the gated UI, and product KPIs the flag is meant to move (e.g. engagement with hourly forecast). Define guardrail metrics with automatic halt (e.g. crash rate +0.5% vs baseline → freeze ramp). Compare buckets fairly because assignment is deterministic — same user always in the same bucket for a given flag key.</w:t>
      </w:r>
    </w:p>
    <w:p>
      <w:r>
        <w:rPr>
          <w:b w:val="0"/>
          <w:i w:val="0"/>
        </w:rPr>
        <w:t>Flag debt at scale: Every flag gets creation date, owner, and expiry/TTL; quarterly stale-flag audit; "launched" flags graduate by removing config entry + FeatureGate wrap (mirror of the easy-add path). Dashboards for flag age and last-evaluated surface orphans. Target: no flag older than N releases without an owner or without a launch/kill decision.</w:t>
      </w:r>
    </w:p>
    <w:p/>
    <w:p>
      <w:r>
        <w:rPr>
          <w:b w:val="0"/>
          <w:i w:val="0"/>
        </w:rPr>
        <w:t>*Approx. length: 1–2 pages when printed at 11pt with normal margins.*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