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0"/>
      </w:tblGrid>
      <w:tr>
        <w:tc>
          <w:tcPr>
            <w:tcW w:type="auto" w:w="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POR QUÉ TODA STARTUP ARGENTINA SE INCORPORA EN EL EXTERIOR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C8E8"/>
                <w:sz w:val="14"/>
                <w:szCs w:val="14"/>
              </w:rPr>
              <w:t xml:space="preserve">   ·   Análisis impositivo comparado para legisladores · SaaS B2B · Marzo 2026</w:t>
            </w:r>
          </w:p>
        </w:tc>
      </w:tr>
    </w:tbl>
    <w:p>
      <w:pPr>
        <w:spacing w:after="0" w:before="8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4120"/>
        <w:gridCol w:w="4120"/>
        <w:gridCol w:w="4120"/>
      </w:tblGrid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F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5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Argentina — SAS o SA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4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Delaware — C-Corp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Islas Caimán</w:t>
            </w:r>
          </w:p>
        </w:tc>
      </w:tr>
      <w:tr>
        <w:tc>
          <w:tcPr>
            <w:tcW w:type="auto" w:w="1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BLOQUE 1 · Impuestos que paga una empresa de software todos los años (sobre cada US$100 que factura)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Impuesto a las Ganancias
(sobre utilidad neta)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35%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6"/>
                <w:szCs w:val="16"/>
              </w:rPr>
              <w:t xml:space="preserve"> de la utilidad neta.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C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000"/>
                <w:sz w:val="22"/>
                <w:szCs w:val="22"/>
              </w:rPr>
              <w:t xml:space="preserve">21%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 — pero si reinvertís en I+D: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0"/>
                <w:szCs w:val="20"/>
              </w:rPr>
              <w:t xml:space="preserve">
0% efectivo.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 Section 174A: deducís el 100% de I+D ese año. Base imponible = 0.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IVA
(sobre cada factura emitida)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21%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 sobre cada factura.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
Exportación de software: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3"/>
                <w:szCs w:val="13"/>
              </w:rPr>
              <w:t xml:space="preserve">0% (exento).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 Si vendés en Argentina: 21%.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6"/>
                <w:szCs w:val="16"/>
              </w:rPr>
              <w:t xml:space="preserve"> sales tax.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Ingresos Brutos
(IIBB, provincial)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3–5%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 sobre facturación BRUTA,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
no sobre ganancia. Pagás aunque pierdas plata.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8"/>
                <w:szCs w:val="18"/>
              </w:rPr>
              <w:t xml:space="preserve">No existe.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8"/>
                <w:szCs w:val="18"/>
              </w:rPr>
              <w:t xml:space="preserve">No existe.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Impuesto al cheque
(débitos y créditos bancarios)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1,2%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 por cada movimiento bancario.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
0,6% al débito + 0,6% al crédito.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8"/>
                <w:szCs w:val="18"/>
              </w:rPr>
              <w:t xml:space="preserve">No existe.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8"/>
                <w:szCs w:val="18"/>
              </w:rPr>
              <w:t xml:space="preserve">No existe.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Retenciones
(cobros con tarjeta / transferencia)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0,5–3%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 retenido automáticamente en cada cobro.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
El fisco te pre-cobra antes de que veas el dinero.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8"/>
                <w:szCs w:val="18"/>
              </w:rPr>
              <w:t xml:space="preserve">No aplica.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8"/>
                <w:szCs w:val="18"/>
              </w:rPr>
              <w:t xml:space="preserve">No aplica.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Impuesto de sellos
(contratos)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1–1,5%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 sobre el valor de cada contrato.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8"/>
                <w:szCs w:val="18"/>
              </w:rPr>
              <w:t xml:space="preserve">No existe.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8"/>
                <w:szCs w:val="18"/>
              </w:rPr>
              <w:t xml:space="preserve">No existe.</w:t>
            </w:r>
          </w:p>
        </w:tc>
      </w:tr>
    </w:tbl>
    <w:p>
      <w:pPr>
        <w:spacing w:after="0" w:before="9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4120"/>
        <w:gridCol w:w="4120"/>
        <w:gridCol w:w="4120"/>
      </w:tblGrid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F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5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Argentina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4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Delaware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Caimán</w:t>
            </w:r>
          </w:p>
        </w:tc>
      </w:tr>
      <w:tr>
        <w:tc>
          <w:tcPr>
            <w:tcW w:type="auto" w:w="1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BLOQUE 2 · Ciclo de vida de la startup: Nota Convertible → Ronda Valuada → Salida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1
Ronda de inversión
vía nota convertible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35%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4"/>
                <w:szCs w:val="14"/>
              </w:rPr>
              <w:t xml:space="preserve">del capital invertido en impuestos.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ARCA trata la nota como deuda → cobra Ganancias sobre intereses que nunca existieron.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2
Ronda de inversión
valuada — la nota
se convierte
en acciones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35%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4"/>
                <w:szCs w:val="14"/>
              </w:rPr>
              <w:t xml:space="preserve">sobre la conversión.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ARCA la trata como cancelación de pasivo → grava el monto total.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+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13"/>
                <w:szCs w:val="13"/>
              </w:rPr>
              <w:t xml:space="preserve">0,5% anual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 sobre valuación (Bienes Personales) aunque nadie cobró nada.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3A
Salida —
Venta de
la empresa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44%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4"/>
                <w:szCs w:val="14"/>
              </w:rPr>
              <w:t xml:space="preserve">en impuestos.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35% corp. + 7% distribución + 15% fund.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C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000"/>
                <w:sz w:val="22"/>
                <w:szCs w:val="22"/>
              </w:rPr>
              <w:t xml:space="preserve">21–37%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4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en impuestos.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21% corp. Con beneficios fiscales para fundadores (QSBS), baja a 21%. Sin ellos, 37%.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en impuestos.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3B
Salida —
Salida a bolsa
(IPO)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0,5%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3"/>
                <w:szCs w:val="13"/>
              </w:rPr>
              <w:t xml:space="preserve">anual sobre el valor de mercado de tus acciones,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13"/>
                <w:szCs w:val="13"/>
              </w:rPr>
              <w:t xml:space="preserve">
aunque no hayas vendido ninguna.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No pagás nada hasta que vendés.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No pagás nada hasta que vendés.</w:t>
            </w:r>
          </w:p>
        </w:tc>
      </w:tr>
    </w:tbl>
    <w:p>
      <w:pPr>
        <w:spacing w:after="0" w:before="8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0"/>
      </w:tblGrid>
      <w:tr>
        <w:tc>
          <w:tcPr>
            <w:tcW w:type="auto" w:w="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QUÉ NECESITA CAMBIAR: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(1) SAFEs tratados como equity, no como deuda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(2) Conversión a acciones: evento no imponible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(3) Neutralidad fiscal holding↔subsidiaria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(4) No gravar reinversión en I+D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(5) Blindaje estatutario vs. resoluciones IGJ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BB"/>
                <w:sz w:val="11"/>
                <w:szCs w:val="11"/>
              </w:rPr>
              <w:t xml:space="preserve">   |   Fuentes: LIG, Ley 27.349, IRC §41/§174A/§1202, PWC Cayman Tax Summary 2025</w:t>
            </w:r>
          </w:p>
        </w:tc>
      </w:tr>
    </w:tbl>
    <w:p>
      <w:pPr>
        <w:sectPr>
          <w:pgSz w:w="15840" w:h="12240" w:orient="landscape"/>
          <w:pgMar w:top="640" w:right="1080" w:bottom="560" w:left="1080" w:header="708" w:footer="708" w:gutter="0"/>
          <w:pgNumType/>
          <w:docGrid w:linePitch="360"/>
        </w:sectPr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0"/>
      </w:tblGrid>
      <w:tr>
        <w:tc>
          <w:tcPr>
            <w:tcW w:type="auto" w:w="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qué todo inversor argentino en startups opera desde el exterior</w:t>
            </w:r>
          </w:p>
        </w:tc>
      </w:tr>
    </w:tbl>
    <w:p>
      <w:pPr>
        <w:spacing w:after="0" w:before="8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0"/>
      </w:tblGrid>
      <w:tr>
        <w:tc>
          <w:tcPr>
            <w:tcW w:type="auto" w:w="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En Argentina no existe un vehículo legal para constituir un fondo de Venture Capital.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EAA"/>
                <w:sz w:val="13"/>
                <w:szCs w:val="13"/>
              </w:rPr>
              <w:t xml:space="preserve">  No hay figura que permita recibir capital de múltiples inversores, pagar carried interest a los gestores y salir limpiamente.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EEAA"/>
                <w:sz w:val="13"/>
                <w:szCs w:val="13"/>
              </w:rPr>
              <w:t xml:space="preserve">Todos los fondos que invierten en startups argentinas están constituidos en Delaware o Caimán — incluso los de argentinos.</w:t>
            </w:r>
          </w:p>
        </w:tc>
      </w:tr>
    </w:tbl>
    <w:p>
      <w:pPr>
        <w:spacing w:after="0" w:before="8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4120"/>
        <w:gridCol w:w="4120"/>
        <w:gridCol w:w="4120"/>
      </w:tblGrid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F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5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Argentina — SAS o SA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4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Delaware — C-Corp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Islas Caimán</w:t>
            </w:r>
          </w:p>
        </w:tc>
      </w:tr>
      <w:tr>
        <w:tc>
          <w:tcPr>
            <w:tcW w:type="auto" w:w="1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BLOQUE 3 · El inversor: ángel y capital de grupo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1
Ángel invierte
vía nota
convertible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35%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4"/>
                <w:szCs w:val="14"/>
              </w:rPr>
              <w:t xml:space="preserve">del capital en impuestos.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ARCA trata la nota como deuda → cobra Ganancias sobre intereses que nunca existieron.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2
Ángel vende
su participación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15%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4"/>
                <w:szCs w:val="14"/>
              </w:rPr>
              <w:t xml:space="preserve">sobre la ganancia.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Sin ningún beneficio por haber apostado temprano.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C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Con QSBS &gt;5 años.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Beneficio específico para inversores early-stage.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Ningún evento fiscal.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3
Mover capital
dentro del grupo
(holding →
subsidiaria)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22"/>
                <w:szCs w:val="22"/>
              </w:rPr>
              <w:t xml:space="preserve">7%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4"/>
                <w:szCs w:val="14"/>
              </w:rPr>
              <w:t xml:space="preserve">por cada movimiento.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ARCA lo trata como dividendo o préstamo. Pagar sueldos o servidores desde el holding genera impuesto.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Sin restricciones.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
El capital se mueve libremente dentro del grupo.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2"/>
                <w:szCs w:val="22"/>
              </w:rPr>
              <w:t xml:space="preserve">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Sin restricciones.</w:t>
            </w:r>
          </w:p>
        </w:tc>
      </w:tr>
    </w:tbl>
    <w:p>
      <w:pPr>
        <w:spacing w:after="0" w:before="9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4120"/>
        <w:gridCol w:w="4120"/>
        <w:gridCol w:w="4120"/>
      </w:tblGrid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F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5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Argentina — SAS o SA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4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Delaware — C-Corp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Islas Caimán</w:t>
            </w:r>
          </w:p>
        </w:tc>
      </w:tr>
      <w:tr>
        <w:tc>
          <w:tcPr>
            <w:tcW w:type="auto" w:w="1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BLOQUE 4 · Marco jurídico y seguridad financiera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Estabilidad
regulatorio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16"/>
                <w:szCs w:val="16"/>
              </w:rPr>
              <w:t xml:space="preserve">Inestable.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La IGJ puede cambiar las reglas por resolución de bajo rango, sin pasar por el Congreso. Ya inutilizó la SAS por resolución administrativa.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Estable.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La ley de sociedades solo cambia por el Congreso. Ningún funcionario puede modificar las reglas un lunes a la mañana.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Estable.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Certificado de exención fiscal inamovible por 20–50 años.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Jurisprudencia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16"/>
                <w:szCs w:val="16"/>
              </w:rPr>
              <w:t xml:space="preserve">Impredecible.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Sin precedente vinculante. El fallo depende del juez de turno — dos causas idénticas pueden resolverse de manera opuesta. Riesgo no modelable para el inversor.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Stare decisis.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El precedente es vinculante. El inversor puede anticipar el resultado de un conflicto antes de firmar el contrato.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Stare decisis.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Common law británico. Precedente vinculante.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Documentación
estándar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16"/>
                <w:szCs w:val="16"/>
              </w:rPr>
              <w:t xml:space="preserve">No existe.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Sin estándar de mercado para SAFEs, term sheets ni SHA. Cada operación requiere negociación desde cero.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Estándar global.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SAFEs, term sheets y SHA estandarizados (YC Docs). Conocidos por cualquier inversor del mundo.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Compatible.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Totalmente compatible con el estándar Delaware.</w:t>
            </w:r>
          </w:p>
        </w:tc>
      </w:tr>
      <w:tr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30"/>
              <w:bottom w:type="dxa" w:w="55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F5A"/>
                <w:sz w:val="14"/>
                <w:szCs w:val="14"/>
              </w:rPr>
              <w:t xml:space="preserve">Resolución
de conflictos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0000"/>
                <w:sz w:val="16"/>
                <w:szCs w:val="16"/>
              </w:rPr>
              <w:t xml:space="preserve">Justicia ordinaria.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0000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Lenta, sin especialización en derecho societario. Un litigio puede durar años.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Court of Chancery.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Tribunal especializado, ágil y con siglos de precedentes. El estándar mundial para resolver conflictos societarios.</w:t>
            </w:r>
          </w:p>
        </w:tc>
        <w:tc>
          <w:tcPr>
            <w:tcW w:type="auto" w:w="1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Grand Court.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5"/>
                <w:szCs w:val="15"/>
              </w:rPr>
              <w:t xml:space="preserve">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Tribunal especializado y eficiente. Resolución rápida bajo common law británico.</w:t>
            </w:r>
          </w:p>
        </w:tc>
      </w:tr>
    </w:tbl>
    <w:p>
      <w:pPr>
        <w:spacing w:after="0" w:before="9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0"/>
      </w:tblGrid>
      <w:tr>
        <w:tc>
          <w:tcPr>
            <w:tcW w:type="auto" w:w="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CONCLUSIÓN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EEAA"/>
                <w:sz w:val="13"/>
                <w:szCs w:val="13"/>
              </w:rPr>
              <w:t xml:space="preserve">Los parches fiscales son condición necesaria pero no suficiente.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FF"/>
                <w:sz w:val="13"/>
                <w:szCs w:val="13"/>
              </w:rPr>
              <w:t xml:space="preserve">La SAS fue creada en 2017 y inutilizada por resolución administrativa en 2020 — sin pasar por el Congreso. Ese episodio define el problema: ningún inversor internacional compromete capital en una jurisdicción donde las reglas pueden cambiar un lunes a la mañana.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FF"/>
                <w:sz w:val="13"/>
                <w:szCs w:val="13"/>
              </w:rPr>
              <w:t xml:space="preserve">Para que una holding local sea viable se necesitan tres cosas simultáneas: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EEAA"/>
                <w:sz w:val="13"/>
                <w:szCs w:val="13"/>
              </w:rPr>
              <w:t xml:space="preserve">(1) neutralidad fiscal en todo el ciclo de vida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EEAA"/>
                <w:sz w:val="13"/>
                <w:szCs w:val="13"/>
              </w:rPr>
              <w:t xml:space="preserve">(2) blindaje estatutario que ninguna resolución de la IGJ pueda perforar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EEAA"/>
                <w:sz w:val="13"/>
                <w:szCs w:val="13"/>
              </w:rPr>
              <w:t xml:space="preserve">(3) mecanismo de resolución de conflictos predecible.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  Con las tres, Argentina puede competir. Sin las tres, los parches fiscales solos no alcanzan.</w:t>
            </w:r>
          </w:p>
        </w:tc>
      </w:tr>
    </w:tbl>
    <w:p>
      <w:pPr>
        <w:spacing w:after="0" w:before="80"/>
      </w:pP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0"/>
      </w:tblGrid>
      <w:tr>
        <w:tc>
          <w:tcPr>
            <w:tcW w:type="auto" w:w="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QUÉ NECESITA CAMBIAR: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(1) Crear vehículo legal para fondos de VC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(2) Beneficio fiscal para inversores early-stage (equiv. QSBS)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(3) Neutralidad fiscal intra-grupo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(4) Blindaje estatutario vs. resoluciones IGJ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DFF"/>
                <w:sz w:val="13"/>
                <w:szCs w:val="13"/>
              </w:rPr>
              <w:t xml:space="preserve">(5) Tribunal o cámara especializada en derecho societario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BB"/>
                <w:sz w:val="11"/>
                <w:szCs w:val="11"/>
              </w:rPr>
              <w:t xml:space="preserve">   |   Fuentes: LGS, Ley 27.349, Res. IGJ 6/2020, Delaware GCL, Cayman Companies Act 2023</w:t>
            </w:r>
          </w:p>
        </w:tc>
      </w:tr>
    </w:tbl>
    <w:sectPr>
      <w:pgSz w:w="15840" w:h="12240" w:orient="landscape"/>
      <w:pgMar w:top="640" w:right="1080" w:bottom="5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2026-03-08T01:24:45.778Z</dcterms:created>
  <dcterms:modified xsi:type="dcterms:W3CDTF">2026-03-08T01:24:45.779Z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