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070D0F54" wp14:textId="4FDADAAF">
      <w:pPr>
        <w:pStyle w:val="Heading1"/>
        <w:keepNext w:val="1"/>
        <w:keepLines w:val="1"/>
        <w:spacing w:before="480" w:after="0"/>
      </w:pPr>
      <w:r w:rsidR="3B99408E">
        <w:rPr/>
        <w:t xml:space="preserve"> Formulário</w:t>
      </w:r>
      <w:r w:rsidR="3B99408E">
        <w:rPr/>
        <w:t xml:space="preserve"> de </w:t>
      </w:r>
      <w:r w:rsidR="3B99408E">
        <w:rPr/>
        <w:t>Extração</w:t>
      </w:r>
      <w:r w:rsidR="3B99408E">
        <w:rPr/>
        <w:t xml:space="preserve"> de </w:t>
      </w:r>
      <w:r w:rsidR="3B99408E">
        <w:rPr/>
        <w:t>Artigos</w:t>
      </w:r>
    </w:p>
    <w:p xmlns:wp14="http://schemas.microsoft.com/office/word/2010/wordml" w14:paraId="29B24848" wp14:textId="77777777">
      <w:pPr>
        <w:pStyle w:val="Normal"/>
        <w:rPr/>
      </w:pPr>
      <w:r>
        <w:rPr/>
        <w:t>TCC – Inteligência Artificial Generativa (IAG) no Audiovisual não interativo</w:t>
      </w:r>
    </w:p>
    <w:p xmlns:wp14="http://schemas.microsoft.com/office/word/2010/wordml" w14:paraId="78DE1478" wp14:textId="77777777">
      <w:pPr>
        <w:pStyle w:val="Normal"/>
        <w:rPr/>
      </w:pPr>
      <w:r>
        <w:rPr/>
        <w:t>ID em Porifera: 101</w:t>
      </w:r>
    </w:p>
    <w:p xmlns:wp14="http://schemas.microsoft.com/office/word/2010/wordml" w14:paraId="29A778C9" wp14:textId="77777777">
      <w:pPr>
        <w:pStyle w:val="Normal"/>
        <w:rPr/>
      </w:pPr>
      <w:r>
        <w:rPr/>
        <w:t>Título: Sound Designer–Generative AI Interactions: Towards Designing Creative Support Tools for Professional Sound Designers</w:t>
      </w:r>
    </w:p>
    <w:p xmlns:wp14="http://schemas.microsoft.com/office/word/2010/wordml" w14:paraId="527F98E0" wp14:textId="77777777">
      <w:pPr>
        <w:pStyle w:val="Normal"/>
        <w:rPr/>
      </w:pPr>
      <w:r>
        <w:rPr/>
        <w:t>Autores: Purnima Kamath; Fabio Morreale; Priambudi Lintang Bagaskara; Yize Wei; Suranga Nanayakkara</w:t>
      </w:r>
    </w:p>
    <w:p xmlns:wp14="http://schemas.microsoft.com/office/word/2010/wordml" w14:paraId="172C44A6" wp14:textId="77777777">
      <w:pPr>
        <w:pStyle w:val="Normal"/>
        <w:rPr/>
      </w:pPr>
      <w:r>
        <w:rPr/>
        <w:t>Ano / Evento: CHI ’24, May 11–16, 2024, Honolulu, HI, USA.</w:t>
      </w:r>
    </w:p>
    <w:p xmlns:wp14="http://schemas.microsoft.com/office/word/2010/wordml" w14:paraId="54D3CBAB" wp14:textId="77777777">
      <w:pPr>
        <w:pStyle w:val="Normal"/>
        <w:rPr/>
      </w:pPr>
      <w:r>
        <w:rPr/>
        <w:t>DOI: https://doi.org/10.1145/3613904.3642040</w:t>
      </w:r>
    </w:p>
    <w:p xmlns:wp14="http://schemas.microsoft.com/office/word/2010/wordml" w14:paraId="03F6701E" wp14:textId="77777777">
      <w:pPr>
        <w:pStyle w:val="Heading2"/>
        <w:rPr/>
      </w:pPr>
      <w:r>
        <w:rPr/>
        <w:t>Resumo do Artigo (escrito por mim)</w:t>
      </w:r>
    </w:p>
    <w:p xmlns:wp14="http://schemas.microsoft.com/office/word/2010/wordml" w14:paraId="68FA22D5" wp14:textId="77777777">
      <w:pPr>
        <w:pStyle w:val="Normal"/>
        <w:rPr/>
      </w:pPr>
      <w:r>
        <w:rPr/>
        <w:t xml:space="preserve">O artigo investiga como profissionais de design de som interagem com ferramentas baseadas em Inteligência Artificial Generativa (IAG). </w:t>
      </w:r>
      <w:r>
        <w:rPr/>
        <w:br/>
      </w:r>
      <w:r>
        <w:rPr/>
        <w:t xml:space="preserve">Os autores desenvolveram duas ferramentas chamadas Creative Support Tools (CSTs), baseadas em modelos StyleGAN e técnicas de manipulação de espaço latente (EBF e SeFa), </w:t>
      </w:r>
      <w:r>
        <w:rPr/>
        <w:br/>
      </w:r>
      <w:r>
        <w:rPr/>
        <w:t xml:space="preserve">que permitem gerar sons ambientais e efeitos como impactos, passos, ou ruídos mecânicos. </w:t>
      </w:r>
      <w:r>
        <w:rPr/>
        <w:br/>
      </w:r>
      <w:r>
        <w:rPr/>
        <w:t xml:space="preserve">Nove profissionais de sound design testaram essas interfaces em seus próprios fluxos de trabalho e participaram de entrevistas semiestruturadas. </w:t>
      </w:r>
      <w:r>
        <w:rPr/>
        <w:br/>
      </w:r>
      <w:r>
        <w:rPr/>
        <w:t xml:space="preserve">O estudo identificou oportunidades e desafios no uso da IAG em contextos criativos profissionais, incluindo limitações de controle, imprevisibilidade e questões de autoria, </w:t>
      </w:r>
      <w:r>
        <w:rPr/>
        <w:br/>
      </w:r>
      <w:r>
        <w:rPr/>
        <w:t>mas também reconheceu o potencial dessas tecnologias para ampliar a experimentação sonora e acelerar processos criativos.</w:t>
      </w:r>
    </w:p>
    <w:p xmlns:wp14="http://schemas.microsoft.com/office/word/2010/wordml" w14:paraId="26351717" wp14:textId="77777777">
      <w:pPr>
        <w:pStyle w:val="Heading2"/>
        <w:rPr/>
      </w:pPr>
      <w:r>
        <w:rPr/>
        <w:t>Tecnologias de IAG Usadas (escrito por mim)</w:t>
      </w:r>
    </w:p>
    <w:p xmlns:wp14="http://schemas.microsoft.com/office/word/2010/wordml" w14:paraId="0ECD6A74" wp14:textId="77777777">
      <w:pPr>
        <w:pStyle w:val="Normal"/>
        <w:rPr/>
      </w:pPr>
      <w:r>
        <w:rPr/>
        <w:t xml:space="preserve">Os autores utilizaram Style GANs como arquitetura principal de geração, com manipulação de espaço latente via EBF (Eigenbasis Functions) e SeFa (Semantic Factorization) </w:t>
      </w:r>
      <w:r>
        <w:rPr/>
        <w:br/>
      </w:r>
      <w:r>
        <w:rPr/>
        <w:t xml:space="preserve">para controle dos parâmetros acústicos. As interfaces foram implementadas em Streamlit e ReactJS, com execução dos modelos em PyTorch sobre uma GPU RTX 3090. </w:t>
      </w:r>
      <w:r>
        <w:rPr/>
        <w:br/>
      </w:r>
      <w:r>
        <w:rPr/>
        <w:t>Também são mencionadas alternativas como modelos de difusão, embora não tenham sido aplicadas diretamente nos experimentos.</w:t>
      </w:r>
    </w:p>
    <w:p xmlns:wp14="http://schemas.microsoft.com/office/word/2010/wordml" w14:paraId="3504C1C3" wp14:textId="77777777">
      <w:pPr>
        <w:pStyle w:val="Heading2"/>
        <w:rPr/>
      </w:pPr>
      <w:r>
        <w:rPr/>
        <w:t>Questões de Pesquisa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:rsidTr="3B99408E" w14:paraId="01DF0ACD" wp14:textId="77777777">
        <w:trPr/>
        <w:tc>
          <w:tcPr>
            <w:tcW w:w="2880" w:type="dxa"/>
            <w:tcBorders/>
            <w:tcMar/>
          </w:tcPr>
          <w:p w14:paraId="0CE8069B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Subquestão</w:t>
            </w:r>
          </w:p>
        </w:tc>
        <w:tc>
          <w:tcPr>
            <w:tcW w:w="2880" w:type="dxa"/>
            <w:tcBorders/>
            <w:tcMar/>
          </w:tcPr>
          <w:p w14:paraId="64EBD1D9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Opção Marcada</w:t>
            </w:r>
          </w:p>
        </w:tc>
        <w:tc>
          <w:tcPr>
            <w:tcW w:w="2880" w:type="dxa"/>
            <w:tcBorders/>
            <w:tcMar/>
          </w:tcPr>
          <w:p w14:paraId="5DCC1A6A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Trecho literal de justificativa (retirado do artigo)</w:t>
            </w:r>
          </w:p>
        </w:tc>
      </w:tr>
      <w:tr xmlns:wp14="http://schemas.microsoft.com/office/word/2010/wordml" w:rsidTr="3B99408E" w14:paraId="4B88C87E" wp14:textId="77777777">
        <w:trPr/>
        <w:tc>
          <w:tcPr>
            <w:tcW w:w="2880" w:type="dxa"/>
            <w:tcBorders/>
            <w:tcMar/>
          </w:tcPr>
          <w:p w14:paraId="42E63543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SQ1. Tipo de contribuição</w:t>
            </w:r>
          </w:p>
        </w:tc>
        <w:tc>
          <w:tcPr>
            <w:tcW w:w="2880" w:type="dxa"/>
            <w:tcBorders/>
            <w:tcMar/>
          </w:tcPr>
          <w:p w14:paraId="669456F1" wp14:textId="1E96385D">
            <w:pPr>
              <w:pStyle w:val="Normal"/>
              <w:widowControl w:val="1"/>
              <w:bidi w:val="0"/>
              <w:spacing w:before="0" w:after="200" w:line="276" w:lineRule="auto"/>
              <w:jc w:val="left"/>
            </w:pPr>
            <w:r w:rsidR="3B99408E">
              <w:rPr/>
              <w:t xml:space="preserve">☑ Pesquisa </w:t>
            </w:r>
            <w:r w:rsidR="3B99408E">
              <w:rPr/>
              <w:t>empírica</w:t>
            </w:r>
          </w:p>
        </w:tc>
        <w:tc>
          <w:tcPr>
            <w:tcW w:w="2880" w:type="dxa"/>
            <w:tcBorders/>
            <w:tcMar/>
          </w:tcPr>
          <w:p w14:paraId="4B7B66D7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“</w:t>
            </w:r>
            <w:r>
              <w:rPr/>
              <w:t>We designed two interactive generative AI models as Creative Support Tools (CSTs) and invited nine professional sound design practitioners to apply the CSTs in their practice.”</w:t>
            </w:r>
          </w:p>
        </w:tc>
      </w:tr>
      <w:tr xmlns:wp14="http://schemas.microsoft.com/office/word/2010/wordml" w:rsidTr="3B99408E" w14:paraId="2C4A98D7" wp14:textId="77777777">
        <w:trPr/>
        <w:tc>
          <w:tcPr>
            <w:tcW w:w="2880" w:type="dxa"/>
            <w:tcBorders/>
            <w:tcMar/>
          </w:tcPr>
          <w:p w14:paraId="55AF44A4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SQ2. Área do conhecimento</w:t>
            </w:r>
          </w:p>
        </w:tc>
        <w:tc>
          <w:tcPr>
            <w:tcW w:w="2880" w:type="dxa"/>
            <w:tcBorders/>
            <w:tcMar/>
          </w:tcPr>
          <w:p w14:paraId="6E4081AA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 xml:space="preserve">☑ </w:t>
            </w:r>
            <w:r>
              <w:rPr/>
              <w:t>Interação Humano-Computador ☑ Design de Som ☑ Inteligência Artificial</w:t>
            </w:r>
          </w:p>
        </w:tc>
        <w:tc>
          <w:tcPr>
            <w:tcW w:w="2880" w:type="dxa"/>
            <w:tcBorders/>
            <w:tcMar/>
          </w:tcPr>
          <w:p w14:paraId="5E1E1956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“</w:t>
            </w:r>
            <w:r>
              <w:rPr/>
              <w:t>We provide insights into sound designers’ expectations of generative AI and highlight opportunities to situate generative AI-based tools within the design process.”</w:t>
            </w:r>
          </w:p>
        </w:tc>
      </w:tr>
      <w:tr xmlns:wp14="http://schemas.microsoft.com/office/word/2010/wordml" w:rsidTr="3B99408E" w14:paraId="5292D3B4" wp14:textId="77777777">
        <w:trPr/>
        <w:tc>
          <w:tcPr>
            <w:tcW w:w="2880" w:type="dxa"/>
            <w:tcBorders/>
            <w:tcMar/>
          </w:tcPr>
          <w:p w14:paraId="0851B70A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SQ3. Foco principal da aplicação da IAG</w:t>
            </w:r>
          </w:p>
        </w:tc>
        <w:tc>
          <w:tcPr>
            <w:tcW w:w="2880" w:type="dxa"/>
            <w:tcBorders/>
            <w:tcMar/>
          </w:tcPr>
          <w:p w14:paraId="1D036CA4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 xml:space="preserve">☑ </w:t>
            </w:r>
            <w:r>
              <w:rPr/>
              <w:t>Design de som / criação de sons ambientais</w:t>
            </w:r>
          </w:p>
        </w:tc>
        <w:tc>
          <w:tcPr>
            <w:tcW w:w="2880" w:type="dxa"/>
            <w:tcBorders/>
            <w:tcMar/>
          </w:tcPr>
          <w:p w14:paraId="46A85AF8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“</w:t>
            </w:r>
            <w:r>
              <w:rPr/>
              <w:t>The practice of sound design involves creating and manipulating environmental sounds for music, films, or games.”</w:t>
            </w:r>
          </w:p>
        </w:tc>
      </w:tr>
      <w:tr xmlns:wp14="http://schemas.microsoft.com/office/word/2010/wordml" w:rsidTr="3B99408E" w14:paraId="37C33FE9" wp14:textId="77777777">
        <w:trPr/>
        <w:tc>
          <w:tcPr>
            <w:tcW w:w="2880" w:type="dxa"/>
            <w:tcBorders/>
            <w:tcMar/>
          </w:tcPr>
          <w:p w14:paraId="58C5EA78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SQ4. Tecnologia de IAG empregada</w:t>
            </w:r>
          </w:p>
        </w:tc>
        <w:tc>
          <w:tcPr>
            <w:tcW w:w="2880" w:type="dxa"/>
            <w:tcBorders/>
            <w:tcMar/>
          </w:tcPr>
          <w:p w14:paraId="6A210D44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 xml:space="preserve">☑ </w:t>
            </w:r>
            <w:r>
              <w:rPr/>
              <w:t>StyleGAN ☑ EBF ☑ SeFa</w:t>
            </w:r>
          </w:p>
        </w:tc>
        <w:tc>
          <w:tcPr>
            <w:tcW w:w="2880" w:type="dxa"/>
            <w:tcBorders/>
            <w:tcMar/>
          </w:tcPr>
          <w:p w14:paraId="50AF293E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“</w:t>
            </w:r>
            <w:r>
              <w:rPr/>
              <w:t>Thus, in this paper, we focus on using StyleGANs to develop our CSTs for sound design.” / “In this paper, we used EBF and SeFa to interact with our underlying StyleGAN model to control the generation of sounds in our CSTs.”</w:t>
            </w:r>
          </w:p>
        </w:tc>
      </w:tr>
      <w:tr xmlns:wp14="http://schemas.microsoft.com/office/word/2010/wordml" w:rsidTr="3B99408E" w14:paraId="786E7194" wp14:textId="77777777">
        <w:trPr/>
        <w:tc>
          <w:tcPr>
            <w:tcW w:w="2880" w:type="dxa"/>
            <w:tcBorders/>
            <w:tcMar/>
          </w:tcPr>
          <w:p w14:paraId="6BD7D692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SQ4.1. Critérios/métricas de qualidade</w:t>
            </w:r>
          </w:p>
        </w:tc>
        <w:tc>
          <w:tcPr>
            <w:tcW w:w="2880" w:type="dxa"/>
            <w:tcBorders/>
            <w:tcMar/>
          </w:tcPr>
          <w:p w14:paraId="57278C37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–</w:t>
            </w:r>
          </w:p>
        </w:tc>
        <w:tc>
          <w:tcPr>
            <w:tcW w:w="2880" w:type="dxa"/>
            <w:tcBorders/>
            <w:tcMar/>
          </w:tcPr>
          <w:p w14:paraId="12C0C6BA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“</w:t>
            </w:r>
            <w:r>
              <w:rPr/>
              <w:t>Our server logs indicated that overall, the participants spent a median of 46.28 minutes ... exploring and familiarizing themselves with the interfaces.”</w:t>
            </w:r>
          </w:p>
        </w:tc>
      </w:tr>
      <w:tr xmlns:wp14="http://schemas.microsoft.com/office/word/2010/wordml" w:rsidTr="3B99408E" w14:paraId="1D9F60CC" wp14:textId="77777777">
        <w:trPr/>
        <w:tc>
          <w:tcPr>
            <w:tcW w:w="2880" w:type="dxa"/>
            <w:tcBorders/>
            <w:tcMar/>
          </w:tcPr>
          <w:p w14:paraId="3C55760F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SQ4.2. Conclusões sobre o conteúdo gerado</w:t>
            </w:r>
          </w:p>
        </w:tc>
        <w:tc>
          <w:tcPr>
            <w:tcW w:w="2880" w:type="dxa"/>
            <w:tcBorders/>
            <w:tcMar/>
          </w:tcPr>
          <w:p w14:paraId="5B2EDD13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–</w:t>
            </w:r>
          </w:p>
        </w:tc>
        <w:tc>
          <w:tcPr>
            <w:tcW w:w="2880" w:type="dxa"/>
            <w:tcBorders/>
            <w:tcMar/>
          </w:tcPr>
          <w:p w14:paraId="3BE622CB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“</w:t>
            </w:r>
            <w:r>
              <w:rPr/>
              <w:t>We found that sound designers used AI models for performing fast iterations to create novel sounds and as an alternative to manual field recording activities.”</w:t>
            </w:r>
          </w:p>
        </w:tc>
      </w:tr>
      <w:tr xmlns:wp14="http://schemas.microsoft.com/office/word/2010/wordml" w:rsidTr="3B99408E" w14:paraId="6E36FA43" wp14:textId="77777777">
        <w:trPr/>
        <w:tc>
          <w:tcPr>
            <w:tcW w:w="2880" w:type="dxa"/>
            <w:tcBorders/>
            <w:tcMar/>
          </w:tcPr>
          <w:p w14:paraId="6B93870C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SQ5. Forma de uso da IAG</w:t>
            </w:r>
          </w:p>
        </w:tc>
        <w:tc>
          <w:tcPr>
            <w:tcW w:w="2880" w:type="dxa"/>
            <w:tcBorders/>
            <w:tcMar/>
          </w:tcPr>
          <w:p w14:paraId="039DDE77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 xml:space="preserve">☑ </w:t>
            </w:r>
            <w:r>
              <w:rPr/>
              <w:t>Ferramentas originais desenvolvidas pelos autores</w:t>
            </w:r>
          </w:p>
        </w:tc>
        <w:tc>
          <w:tcPr>
            <w:tcW w:w="2880" w:type="dxa"/>
            <w:tcBorders/>
            <w:tcMar/>
          </w:tcPr>
          <w:p w14:paraId="44B5CA7E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“</w:t>
            </w:r>
            <w:r>
              <w:rPr/>
              <w:t>We designed two interactive generative AI models as Creative Support Tools (CSTs)...”</w:t>
            </w:r>
          </w:p>
        </w:tc>
      </w:tr>
      <w:tr xmlns:wp14="http://schemas.microsoft.com/office/word/2010/wordml" w:rsidTr="3B99408E" w14:paraId="15845145" wp14:textId="77777777">
        <w:trPr/>
        <w:tc>
          <w:tcPr>
            <w:tcW w:w="2880" w:type="dxa"/>
            <w:tcBorders/>
            <w:tcMar/>
          </w:tcPr>
          <w:p w14:paraId="3E7444B4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SQ6. Desafios técnicos</w:t>
            </w:r>
          </w:p>
        </w:tc>
        <w:tc>
          <w:tcPr>
            <w:tcW w:w="2880" w:type="dxa"/>
            <w:tcBorders/>
            <w:tcMar/>
          </w:tcPr>
          <w:p w14:paraId="279143AD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 xml:space="preserve">☑ </w:t>
            </w:r>
            <w:r>
              <w:rPr/>
              <w:t>Imprevisibilidade ☑ Limitações de dados</w:t>
            </w:r>
          </w:p>
        </w:tc>
        <w:tc>
          <w:tcPr>
            <w:tcW w:w="2880" w:type="dxa"/>
            <w:tcBorders/>
            <w:tcMar/>
          </w:tcPr>
          <w:p w14:paraId="11454DAE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“</w:t>
            </w:r>
            <w:r>
              <w:rPr/>
              <w:t>This unpredictability in the AI-generated sounds is due to the limitations of the training data used to train the GAN.”</w:t>
            </w:r>
          </w:p>
        </w:tc>
      </w:tr>
      <w:tr xmlns:wp14="http://schemas.microsoft.com/office/word/2010/wordml" w:rsidTr="3B99408E" w14:paraId="21DB93CB" wp14:textId="77777777">
        <w:trPr/>
        <w:tc>
          <w:tcPr>
            <w:tcW w:w="2880" w:type="dxa"/>
            <w:tcBorders/>
            <w:tcMar/>
          </w:tcPr>
          <w:p w14:paraId="03D1A41F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SQ7. Desafios éticos e criativos</w:t>
            </w:r>
          </w:p>
        </w:tc>
        <w:tc>
          <w:tcPr>
            <w:tcW w:w="2880" w:type="dxa"/>
            <w:tcBorders/>
            <w:tcMar/>
          </w:tcPr>
          <w:p w14:paraId="15149ECF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 xml:space="preserve">☑ </w:t>
            </w:r>
            <w:r>
              <w:rPr/>
              <w:t>Autoria ☑ Agência criativa</w:t>
            </w:r>
          </w:p>
        </w:tc>
        <w:tc>
          <w:tcPr>
            <w:tcW w:w="2880" w:type="dxa"/>
            <w:tcBorders/>
            <w:tcMar/>
          </w:tcPr>
          <w:p w14:paraId="0D83DBFC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“</w:t>
            </w:r>
            <w:r>
              <w:rPr/>
              <w:t>So a lot of other AI seem to be trying to replace a creator [...] whereas this one seems more useful for someone who already knows how to make sounds but just wants to add to their arsenal by having another tool.” (P4)</w:t>
            </w:r>
          </w:p>
        </w:tc>
      </w:tr>
      <w:tr xmlns:wp14="http://schemas.microsoft.com/office/word/2010/wordml" w:rsidTr="3B99408E" w14:paraId="6CD3DB67" wp14:textId="77777777">
        <w:trPr/>
        <w:tc>
          <w:tcPr>
            <w:tcW w:w="2880" w:type="dxa"/>
            <w:tcBorders/>
            <w:tcMar/>
          </w:tcPr>
          <w:p w14:paraId="6328F0E5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SQ8. Apresenta análises empíricas?</w:t>
            </w:r>
          </w:p>
        </w:tc>
        <w:tc>
          <w:tcPr>
            <w:tcW w:w="2880" w:type="dxa"/>
            <w:tcBorders/>
            <w:tcMar/>
          </w:tcPr>
          <w:p w14:paraId="25A02ED0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 xml:space="preserve">☑ </w:t>
            </w:r>
            <w:r>
              <w:rPr/>
              <w:t>Sim</w:t>
            </w:r>
          </w:p>
        </w:tc>
        <w:tc>
          <w:tcPr>
            <w:tcW w:w="2880" w:type="dxa"/>
            <w:tcBorders/>
            <w:tcMar/>
          </w:tcPr>
          <w:p w14:paraId="0C49D6E3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“</w:t>
            </w:r>
            <w:r>
              <w:rPr/>
              <w:t>We introduced our CSTs to nine professional sound designers and asked them to apply them in a creative endeavor in their practice.”</w:t>
            </w:r>
          </w:p>
        </w:tc>
      </w:tr>
      <w:tr xmlns:wp14="http://schemas.microsoft.com/office/word/2010/wordml" w:rsidTr="3B99408E" w14:paraId="1B4D348D" wp14:textId="77777777">
        <w:trPr/>
        <w:tc>
          <w:tcPr>
            <w:tcW w:w="2880" w:type="dxa"/>
            <w:tcBorders/>
            <w:tcMar/>
          </w:tcPr>
          <w:p w14:paraId="703474DA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SQ8.1. Método empírico adotado</w:t>
            </w:r>
          </w:p>
        </w:tc>
        <w:tc>
          <w:tcPr>
            <w:tcW w:w="2880" w:type="dxa"/>
            <w:tcBorders/>
            <w:tcMar/>
          </w:tcPr>
          <w:p w14:paraId="713D21CE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 xml:space="preserve">☑ </w:t>
            </w:r>
            <w:r>
              <w:rPr/>
              <w:t>Entrevistas ☑ Oficinas remotas</w:t>
            </w:r>
          </w:p>
        </w:tc>
        <w:tc>
          <w:tcPr>
            <w:tcW w:w="2880" w:type="dxa"/>
            <w:tcBorders/>
            <w:tcMar/>
          </w:tcPr>
          <w:p w14:paraId="1CCB64AE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“</w:t>
            </w:r>
            <w:r>
              <w:rPr/>
              <w:t>We subsequently conducted a semi-structured interview to gauge the participants’ experience and feedback on the generative AI interfaces.”</w:t>
            </w:r>
          </w:p>
        </w:tc>
      </w:tr>
      <w:tr xmlns:wp14="http://schemas.microsoft.com/office/word/2010/wordml" w:rsidTr="3B99408E" w14:paraId="375E0BE0" wp14:textId="77777777">
        <w:trPr/>
        <w:tc>
          <w:tcPr>
            <w:tcW w:w="2880" w:type="dxa"/>
            <w:tcBorders/>
            <w:tcMar/>
          </w:tcPr>
          <w:p w14:paraId="7E02D08E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SQ8.2. Quantidade de participantes</w:t>
            </w:r>
          </w:p>
        </w:tc>
        <w:tc>
          <w:tcPr>
            <w:tcW w:w="2880" w:type="dxa"/>
            <w:tcBorders/>
            <w:tcMar/>
          </w:tcPr>
          <w:p w14:paraId="688026DE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Nº: 9</w:t>
            </w:r>
          </w:p>
        </w:tc>
        <w:tc>
          <w:tcPr>
            <w:tcW w:w="2880" w:type="dxa"/>
            <w:tcBorders/>
            <w:tcMar/>
          </w:tcPr>
          <w:p w14:paraId="6F212D98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“</w:t>
            </w:r>
            <w:r>
              <w:rPr/>
              <w:t>We recruited nine professional sound design practitioners (six male, two female, one preferred not to say) for this study through snowball sampling.”</w:t>
            </w:r>
          </w:p>
        </w:tc>
      </w:tr>
      <w:tr xmlns:wp14="http://schemas.microsoft.com/office/word/2010/wordml" w:rsidTr="3B99408E" w14:paraId="36F7FAC0" wp14:textId="77777777">
        <w:trPr/>
        <w:tc>
          <w:tcPr>
            <w:tcW w:w="2880" w:type="dxa"/>
            <w:tcBorders/>
            <w:tcMar/>
          </w:tcPr>
          <w:p w14:paraId="79864D09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SQ9. Finalidade principal da IAG</w:t>
            </w:r>
          </w:p>
        </w:tc>
        <w:tc>
          <w:tcPr>
            <w:tcW w:w="2880" w:type="dxa"/>
            <w:tcBorders/>
            <w:tcMar/>
          </w:tcPr>
          <w:p w14:paraId="048AEF67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 xml:space="preserve">☑ </w:t>
            </w:r>
            <w:r>
              <w:rPr/>
              <w:t>Suporte criativo / co-criação</w:t>
            </w:r>
          </w:p>
        </w:tc>
        <w:tc>
          <w:tcPr>
            <w:tcW w:w="2880" w:type="dxa"/>
            <w:tcBorders/>
            <w:tcMar/>
          </w:tcPr>
          <w:p w14:paraId="3AAD372A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“</w:t>
            </w:r>
            <w:r>
              <w:rPr/>
              <w:t>We designed two interactive generative AI models as Creative Support Tools (CSTs) and invited nine professional sound design practitioners to apply the CSTs in their practice.”</w:t>
            </w:r>
          </w:p>
        </w:tc>
      </w:tr>
      <w:tr xmlns:wp14="http://schemas.microsoft.com/office/word/2010/wordml" w:rsidTr="3B99408E" w14:paraId="3E57BF06" wp14:textId="77777777">
        <w:trPr/>
        <w:tc>
          <w:tcPr>
            <w:tcW w:w="2880" w:type="dxa"/>
            <w:tcBorders/>
            <w:tcMar/>
          </w:tcPr>
          <w:p w14:paraId="1D9157B9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SQ10. Tipos de conteúdo gerado</w:t>
            </w:r>
          </w:p>
        </w:tc>
        <w:tc>
          <w:tcPr>
            <w:tcW w:w="2880" w:type="dxa"/>
            <w:tcBorders/>
            <w:tcMar/>
          </w:tcPr>
          <w:p w14:paraId="46DC2C43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 xml:space="preserve">☑ </w:t>
            </w:r>
            <w:r>
              <w:rPr/>
              <w:t>Sons ambientais ☑ Efeitos (impactos, passos, ruídos)</w:t>
            </w:r>
          </w:p>
        </w:tc>
        <w:tc>
          <w:tcPr>
            <w:tcW w:w="2880" w:type="dxa"/>
            <w:tcBorders/>
            <w:tcMar/>
          </w:tcPr>
          <w:p w14:paraId="739DF16C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“</w:t>
            </w:r>
            <w:r>
              <w:rPr/>
              <w:t>Using the ‘Hits &amp; Scratches’ model [...] Using the ‘Environmental Sounds’ model, the sound designers could generate and explore more complex timbres and sounds such as dog barks, footsteps, gunshots, motor vehicles, rain, and keyboard clicks.”</w:t>
            </w:r>
          </w:p>
        </w:tc>
      </w:tr>
      <w:tr xmlns:wp14="http://schemas.microsoft.com/office/word/2010/wordml" w:rsidTr="3B99408E" w14:paraId="41A9C0CD" wp14:textId="77777777">
        <w:trPr/>
        <w:tc>
          <w:tcPr>
            <w:tcW w:w="2880" w:type="dxa"/>
            <w:tcBorders/>
            <w:tcMar/>
          </w:tcPr>
          <w:p w14:paraId="0195B3BF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SQ11. Tipo de dispositivo/tecnologia usada</w:t>
            </w:r>
          </w:p>
        </w:tc>
        <w:tc>
          <w:tcPr>
            <w:tcW w:w="2880" w:type="dxa"/>
            <w:tcBorders/>
            <w:tcMar/>
          </w:tcPr>
          <w:p w14:paraId="51348065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 xml:space="preserve">☑ </w:t>
            </w:r>
            <w:r>
              <w:rPr/>
              <w:t>Web ☑ GPU RTX 3090 ☑ Pytorch</w:t>
            </w:r>
          </w:p>
        </w:tc>
        <w:tc>
          <w:tcPr>
            <w:tcW w:w="2880" w:type="dxa"/>
            <w:tcBorders/>
            <w:tcMar/>
          </w:tcPr>
          <w:p w14:paraId="56F9B1C1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“</w:t>
            </w:r>
            <w:r>
              <w:rPr/>
              <w:t>All underlying AI models were built and trained using Pytorch and were running on a single RTX 3090 GPU.”</w:t>
            </w:r>
          </w:p>
        </w:tc>
      </w:tr>
      <w:tr xmlns:wp14="http://schemas.microsoft.com/office/word/2010/wordml" w:rsidTr="3B99408E" w14:paraId="095A3EE7" wp14:textId="77777777">
        <w:trPr/>
        <w:tc>
          <w:tcPr>
            <w:tcW w:w="2880" w:type="dxa"/>
            <w:tcBorders/>
            <w:tcMar/>
          </w:tcPr>
          <w:p w14:paraId="7708FA52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SQ12. Tipo de interação com a IAG</w:t>
            </w:r>
          </w:p>
        </w:tc>
        <w:tc>
          <w:tcPr>
            <w:tcW w:w="2880" w:type="dxa"/>
            <w:tcBorders/>
            <w:tcMar/>
          </w:tcPr>
          <w:p w14:paraId="000229DF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 xml:space="preserve">☑ </w:t>
            </w:r>
            <w:r>
              <w:rPr/>
              <w:t>Interface gráfica ☑ Controles paramétricos</w:t>
            </w:r>
          </w:p>
        </w:tc>
        <w:tc>
          <w:tcPr>
            <w:tcW w:w="2880" w:type="dxa"/>
            <w:tcBorders/>
            <w:tcMar/>
          </w:tcPr>
          <w:p w14:paraId="45209533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“</w:t>
            </w:r>
            <w:r>
              <w:rPr/>
              <w:t>For interface-1, we employed the use of domain-specific controls based on acoustic parameters such as frequency band, impulse width, fade-in, fade-out, etc. [...] For interface-2, we employed the use of technology-specific controls based on the SeFa algorithm.”</w:t>
            </w:r>
          </w:p>
        </w:tc>
      </w:tr>
      <w:tr xmlns:wp14="http://schemas.microsoft.com/office/word/2010/wordml" w:rsidTr="3B99408E" w14:paraId="79FCFEA3" wp14:textId="77777777">
        <w:trPr/>
        <w:tc>
          <w:tcPr>
            <w:tcW w:w="2880" w:type="dxa"/>
            <w:tcBorders/>
            <w:tcMar/>
          </w:tcPr>
          <w:p w14:paraId="7BCFE703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SQ13. Modelo específico utilizado</w:t>
            </w:r>
          </w:p>
        </w:tc>
        <w:tc>
          <w:tcPr>
            <w:tcW w:w="2880" w:type="dxa"/>
            <w:tcBorders/>
            <w:tcMar/>
          </w:tcPr>
          <w:p w14:paraId="0E1E2F2B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 xml:space="preserve">☑ </w:t>
            </w:r>
            <w:r>
              <w:rPr/>
              <w:t>StyleGAN ☑ EBF ☑ SeFa</w:t>
            </w:r>
          </w:p>
        </w:tc>
        <w:tc>
          <w:tcPr>
            <w:tcW w:w="2880" w:type="dxa"/>
            <w:tcBorders/>
            <w:tcMar/>
          </w:tcPr>
          <w:p w14:paraId="2DBAF3EF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“</w:t>
            </w:r>
            <w:r>
              <w:rPr/>
              <w:t>In this paper, we used EBF and SeFa to interact with our underlying StyleGAN model to control the generation of sounds in our CSTs.”</w:t>
            </w:r>
          </w:p>
        </w:tc>
      </w:tr>
      <w:tr xmlns:wp14="http://schemas.microsoft.com/office/word/2010/wordml" w:rsidTr="3B99408E" w14:paraId="39311E25" wp14:textId="77777777">
        <w:trPr/>
        <w:tc>
          <w:tcPr>
            <w:tcW w:w="2880" w:type="dxa"/>
            <w:tcBorders/>
            <w:tcMar/>
          </w:tcPr>
          <w:p w14:paraId="3C0519CA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SQ14. Modelos/benchmarks para validação</w:t>
            </w:r>
          </w:p>
        </w:tc>
        <w:tc>
          <w:tcPr>
            <w:tcW w:w="2880" w:type="dxa"/>
            <w:tcBorders/>
            <w:tcMar/>
          </w:tcPr>
          <w:p w14:paraId="39E85591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 xml:space="preserve">☑ </w:t>
            </w:r>
            <w:r>
              <w:rPr/>
              <w:t>Avaliação qualitativa com designers</w:t>
            </w:r>
          </w:p>
        </w:tc>
        <w:tc>
          <w:tcPr>
            <w:tcW w:w="2880" w:type="dxa"/>
            <w:tcBorders/>
            <w:tcMar/>
          </w:tcPr>
          <w:p w14:paraId="1E1A71F0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“</w:t>
            </w:r>
            <w:r>
              <w:rPr/>
              <w:t>We gained three key insights through inductive reflexive thematic analysis of the interviews.”</w:t>
            </w:r>
          </w:p>
        </w:tc>
      </w:tr>
      <w:tr xmlns:wp14="http://schemas.microsoft.com/office/word/2010/wordml" w:rsidTr="3B99408E" w14:paraId="09752522" wp14:textId="77777777">
        <w:trPr/>
        <w:tc>
          <w:tcPr>
            <w:tcW w:w="2880" w:type="dxa"/>
            <w:tcBorders/>
            <w:tcMar/>
          </w:tcPr>
          <w:p w14:paraId="1AF00B45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SQ15. Impacto potencial para a indústria audiovisual</w:t>
            </w:r>
          </w:p>
        </w:tc>
        <w:tc>
          <w:tcPr>
            <w:tcW w:w="2880" w:type="dxa"/>
            <w:tcBorders/>
            <w:tcMar/>
          </w:tcPr>
          <w:p w14:paraId="6A6552F4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–</w:t>
            </w:r>
          </w:p>
        </w:tc>
        <w:tc>
          <w:tcPr>
            <w:tcW w:w="2880" w:type="dxa"/>
            <w:tcBorders/>
            <w:tcMar/>
          </w:tcPr>
          <w:p w14:paraId="5ABB3D20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“</w:t>
            </w:r>
            <w:r>
              <w:rPr/>
              <w:t>AI-based CSTs could assist sound designers in their creative process by providing means to iterate over ideas quickly, by generating fantastical and novel-sounding elements, and by reducing the need to manually source individual artifacts via field recording for their creative work.”</w:t>
            </w:r>
          </w:p>
        </w:tc>
      </w:tr>
      <w:tr xmlns:wp14="http://schemas.microsoft.com/office/word/2010/wordml" w:rsidTr="3B99408E" w14:paraId="29588F68" wp14:textId="77777777">
        <w:trPr/>
        <w:tc>
          <w:tcPr>
            <w:tcW w:w="2880" w:type="dxa"/>
            <w:tcBorders/>
            <w:tcMar/>
          </w:tcPr>
          <w:p w14:paraId="61F1AE34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SQ16. Desafios quanto à reprodutibilidade e confiabilidade</w:t>
            </w:r>
          </w:p>
        </w:tc>
        <w:tc>
          <w:tcPr>
            <w:tcW w:w="2880" w:type="dxa"/>
            <w:tcBorders/>
            <w:tcMar/>
          </w:tcPr>
          <w:p w14:paraId="555F2560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 xml:space="preserve">☑ </w:t>
            </w:r>
            <w:r>
              <w:rPr/>
              <w:t>Variabilidade ☑ Dependência de dados</w:t>
            </w:r>
          </w:p>
        </w:tc>
        <w:tc>
          <w:tcPr>
            <w:tcW w:w="2880" w:type="dxa"/>
            <w:tcBorders/>
            <w:tcMar/>
          </w:tcPr>
          <w:p w14:paraId="793CBDAE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“</w:t>
            </w:r>
            <w:r>
              <w:rPr/>
              <w:t>This unpredictability in the AI-generated sounds is due to the limitations of the training data used to train the GAN.”</w:t>
            </w:r>
          </w:p>
        </w:tc>
      </w:tr>
      <w:tr xmlns:wp14="http://schemas.microsoft.com/office/word/2010/wordml" w:rsidTr="3B99408E" w14:paraId="2646C88A" wp14:textId="77777777">
        <w:trPr/>
        <w:tc>
          <w:tcPr>
            <w:tcW w:w="2880" w:type="dxa"/>
            <w:tcBorders/>
            <w:tcMar/>
          </w:tcPr>
          <w:p w14:paraId="7443C967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SQ17. Intenção dos autores em tornar perceptível o uso da IAG</w:t>
            </w:r>
          </w:p>
        </w:tc>
        <w:tc>
          <w:tcPr>
            <w:tcW w:w="2880" w:type="dxa"/>
            <w:tcBorders/>
            <w:tcMar/>
          </w:tcPr>
          <w:p w14:paraId="4A0E8F6B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 xml:space="preserve">☑ </w:t>
            </w:r>
            <w:r>
              <w:rPr/>
              <w:t>Sim</w:t>
            </w:r>
          </w:p>
        </w:tc>
        <w:tc>
          <w:tcPr>
            <w:tcW w:w="2880" w:type="dxa"/>
            <w:tcBorders/>
            <w:tcMar/>
          </w:tcPr>
          <w:p w14:paraId="00D151FC" wp14:textId="77777777">
            <w:pPr>
              <w:pStyle w:val="Normal"/>
              <w:widowControl/>
              <w:bidi w:val="0"/>
              <w:spacing w:before="0" w:after="200" w:line="276" w:lineRule="auto"/>
              <w:jc w:val="left"/>
              <w:rPr/>
            </w:pPr>
            <w:r>
              <w:rPr/>
              <w:t>“</w:t>
            </w:r>
            <w:r>
              <w:rPr/>
              <w:t>We designed two interactive generative AI models as Creative Support Tools (CSTs)...”</w:t>
            </w:r>
          </w:p>
        </w:tc>
      </w:tr>
    </w:tbl>
    <w:p xmlns:wp14="http://schemas.microsoft.com/office/word/2010/wordml" w14:paraId="672A6659" wp14:textId="77777777">
      <w:pPr>
        <w:pStyle w:val="Normal"/>
        <w:widowControl/>
        <w:bidi w:val="0"/>
        <w:spacing w:before="0" w:after="200" w:line="276" w:lineRule="auto"/>
        <w:jc w:val="left"/>
        <w:rPr/>
      </w:pPr>
      <w:r>
        <w:rPr/>
      </w:r>
    </w:p>
    <w:sectPr>
      <w:type w:val="nextPage"/>
      <w:pgSz w:w="12240" w:h="15840" w:orient="portrait"/>
      <w:pgMar w:top="1440" w:right="1800" w:bottom="1440" w:left="1800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31a877fd"/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19d170c"/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402dae7b"/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28b2767c"/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20ee7dea"/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1bf51605"/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49eaaf19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  <w14:docId w14:val="6ABF86A8"/>
  <w15:docId w15:val="{F73632BD-F703-4D29-A35E-6C9F4D8B979B}"/>
  <w:rsids>
    <w:rsidRoot w:val="3B99408E"/>
    <w:rsid w:val="3B99408E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mbria" w:hAnsi="Cambria" w:eastAsia="ＭＳ 明朝" w:cs="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before="0" w:after="200" w:line="276" w:lineRule="auto"/>
      <w:jc w:val="left"/>
    </w:pPr>
    <w:rPr>
      <w:rFonts w:ascii="Cambria" w:hAnsi="Cambria" w:eastAsia="ＭＳ 明朝" w:cs=""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hAnsiTheme="majorHAnsi" w:eastAsiaTheme="majorEastAsia" w:cstheme="majorBid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leader="none" w:pos="4680"/>
        <w:tab w:val="right" w:leader="none" w:pos="9360"/>
      </w:tabs>
      <w:spacing w:before="0" w:after="0" w:line="240" w:lineRule="auto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leader="none" w:pos="4680"/>
        <w:tab w:val="right" w:leader="none" w:pos="9360"/>
      </w:tabs>
      <w:spacing w:before="0" w:after="0" w:line="240" w:lineRule="auto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before="0" w:after="0" w:line="240" w:lineRule="auto"/>
      <w:jc w:val="left"/>
    </w:pPr>
    <w:rPr>
      <w:rFonts w:ascii="Cambria" w:hAnsi="Cambria" w:eastAsia="ＭＳ 明朝" w:cs=""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before="0" w:after="300" w:line="240" w:lineRule="auto"/>
      <w:contextualSpacing/>
    </w:pPr>
    <w:rPr>
      <w:rFonts w:ascii="Calibri" w:hAnsi="Calibri" w:eastAsia="ＭＳ ゴシック" w:cs=""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before="0" w:after="12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left="720" w:hanging="36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before="0" w:after="200" w:line="276" w:lineRule="auto"/>
      <w:jc w:val="left"/>
    </w:pPr>
    <w:rPr>
      <w:rFonts w:ascii="Courier" w:hAnsi="Courier" w:eastAsia="ＭＳ 明朝" w:cs="" w:eastAsiaTheme="minorEastAsia" w:cstheme="minorBidi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customXml" Target="../customXml/item1.xml" Id="rId6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2013-12-23T23:15:00.0000000Z</dcterms:created>
  <dc:creator>python-docx</dc:creator>
  <dc:description>generated by python-docx</dc:description>
  <dc:language>pt-BR</dc:language>
  <lastModifiedBy>Guilherme Roth</lastModifiedBy>
  <dcterms:modified xsi:type="dcterms:W3CDTF">2025-11-26T15:41:22.0728612Z</dcterms:modified>
  <revision>3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