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070D0F54" wp14:textId="77777777">
      <w:pPr>
        <w:pStyle w:val="Heading1"/>
        <w:keepNext w:val="true"/>
        <w:keepLines/>
        <w:spacing w:before="480" w:after="0"/>
        <w:rPr/>
      </w:pPr>
      <w:r>
        <w:rPr/>
        <w:t>Formulário de Extração de Artigos</w:t>
      </w:r>
    </w:p>
    <w:p xmlns:wp14="http://schemas.microsoft.com/office/word/2010/wordml" w14:paraId="29B24848" wp14:textId="77777777">
      <w:pPr>
        <w:pStyle w:val="Normal"/>
        <w:rPr/>
      </w:pPr>
      <w:r>
        <w:rPr/>
        <w:t>TCC – Inteligência Artificial Generativa (IAG) no Audiovisual não interativo</w:t>
      </w:r>
    </w:p>
    <w:p xmlns:wp14="http://schemas.microsoft.com/office/word/2010/wordml" w14:paraId="3D9C4004" wp14:textId="77777777">
      <w:pPr>
        <w:pStyle w:val="Normal"/>
        <w:rPr/>
      </w:pPr>
      <w:r>
        <w:rPr/>
        <w:t>ID em Porifera: 102</w:t>
      </w:r>
    </w:p>
    <w:p xmlns:wp14="http://schemas.microsoft.com/office/word/2010/wordml" w14:paraId="40DB767E" wp14:textId="77777777">
      <w:pPr>
        <w:pStyle w:val="Normal"/>
        <w:rPr/>
      </w:pPr>
      <w:r>
        <w:rPr/>
        <w:t>Título: Urban Symphony: An AI and Data-Driven Approach to Real-Time Animation for Public Digital Art</w:t>
      </w:r>
    </w:p>
    <w:p xmlns:wp14="http://schemas.microsoft.com/office/word/2010/wordml" w14:paraId="19F945CD" wp14:textId="77777777">
      <w:pPr>
        <w:pStyle w:val="Normal"/>
        <w:rPr/>
      </w:pPr>
      <w:r>
        <w:rPr/>
        <w:t>Autores: Rem RunGu Lin; Koo YongEn Ke; Kang Zhang</w:t>
      </w:r>
    </w:p>
    <w:p xmlns:wp14="http://schemas.microsoft.com/office/word/2010/wordml" w14:paraId="50A3EFBE" wp14:textId="77777777">
      <w:pPr>
        <w:pStyle w:val="Normal"/>
        <w:rPr/>
      </w:pPr>
      <w:r>
        <w:rPr/>
        <w:t>Ano / Evento: VINCI 2023 – The 16th International Symposium on Visual Information Communication and Interaction, September 22–24, 2023, Guangzhou, China.</w:t>
      </w:r>
    </w:p>
    <w:p xmlns:wp14="http://schemas.microsoft.com/office/word/2010/wordml" w14:paraId="1C2859FC" wp14:textId="77777777">
      <w:pPr>
        <w:pStyle w:val="Normal"/>
        <w:rPr/>
      </w:pPr>
      <w:r>
        <w:rPr/>
        <w:t>DOI: https://doi.org/10.1145/3615522.3615553</w:t>
      </w:r>
    </w:p>
    <w:p xmlns:wp14="http://schemas.microsoft.com/office/word/2010/wordml" w14:paraId="03F6701E" wp14:textId="77777777">
      <w:pPr>
        <w:pStyle w:val="Heading2"/>
        <w:rPr/>
      </w:pPr>
      <w:r>
        <w:rPr/>
        <w:t>Resumo do Artigo (escrito por mim)</w:t>
      </w:r>
    </w:p>
    <w:p xmlns:wp14="http://schemas.microsoft.com/office/word/2010/wordml" w14:paraId="4EB8852B" wp14:textId="77777777">
      <w:pPr>
        <w:pStyle w:val="Normal"/>
        <w:rPr/>
      </w:pPr>
      <w:r>
        <w:rPr/>
        <w:t xml:space="preserve">O artigo descreve o projeto Urban Symphony, uma instalação de arte pública baseada em projeção mapeada que integra Inteligência Artificial Generativa, visualização de dados e visualização de áudio em tempo real. </w:t>
      </w:r>
      <w:r>
        <w:rPr/>
        <w:br/>
      </w:r>
      <w:r>
        <w:rPr/>
        <w:t xml:space="preserve">O objetivo é otimizar o processo criativo e técnico de produção de animações urbanas. </w:t>
      </w:r>
      <w:r>
        <w:rPr/>
        <w:br/>
      </w:r>
      <w:r>
        <w:rPr/>
        <w:t xml:space="preserve">A metodologia combina o uso do modelo Stable Diffusion para o design conceitual, ControlNet para controle estrutural de geração de imagens, e o Unreal Engine para animação em tempo real com dados urbanos e espectros de áudio. </w:t>
      </w:r>
      <w:r>
        <w:rPr/>
        <w:br/>
      </w:r>
      <w:r>
        <w:rPr/>
        <w:t xml:space="preserve">A obra, exibida na Bienal de Urbanismo e Arquitetura Shenzhen-Hong Kong 2023, utiliza nove silos industriais como superfície de projeção. </w:t>
      </w:r>
      <w:r>
        <w:rPr/>
        <w:br/>
      </w:r>
      <w:r>
        <w:rPr/>
        <w:t>O estudo demonstra que a integração de IA e dados pode reduzir o tempo de produção, manter coerência visual e criar experiências imersivas que relacionam o público ao desenvolvimento urbano da cidade.</w:t>
      </w:r>
    </w:p>
    <w:p xmlns:wp14="http://schemas.microsoft.com/office/word/2010/wordml" w14:paraId="26351717" wp14:textId="77777777">
      <w:pPr>
        <w:pStyle w:val="Heading2"/>
        <w:rPr/>
      </w:pPr>
      <w:r>
        <w:rPr/>
        <w:t>Tecnologias de IAG Usadas (escrito por mim)</w:t>
      </w:r>
    </w:p>
    <w:p xmlns:wp14="http://schemas.microsoft.com/office/word/2010/wordml" w14:paraId="0E894587" wp14:textId="77777777">
      <w:pPr>
        <w:pStyle w:val="Normal"/>
        <w:rPr/>
      </w:pPr>
      <w:r>
        <w:rPr/>
        <w:t xml:space="preserve">O artigo utiliza a Stable Diffusion como ferramenta de co-criação para gerar conceitos visuais, combinando-a a ControlNet Units (com preprocessamento canny edge detection e depth midas) para refinar estruturas arquitetônicas. </w:t>
      </w:r>
      <w:r>
        <w:rPr/>
        <w:br/>
      </w:r>
      <w:r>
        <w:rPr/>
        <w:t xml:space="preserve">A produção da animação foi feita no Unreal Engine, com sistemas de partículas e espectros de áudio para sincronizar elementos visuais. </w:t>
      </w:r>
      <w:r>
        <w:rPr/>
        <w:br/>
      </w:r>
      <w:r>
        <w:rPr/>
        <w:t>Outras tecnologias envolvem AIGC (Artificial Intelligence Generated Content), data-visualization pipelines, e a manipulação de parâmetros em tempo real por GPU-based rendering.</w:t>
      </w:r>
    </w:p>
    <w:p xmlns:wp14="http://schemas.microsoft.com/office/word/2010/wordml" w14:paraId="3504C1C3" wp14:textId="77777777">
      <w:pPr>
        <w:pStyle w:val="Heading2"/>
        <w:rPr/>
      </w:pPr>
      <w:r>
        <w:rPr/>
        <w:t>Questões de Pesquisa</w:t>
      </w:r>
    </w:p>
    <w:tbl>
      <w:tblPr>
        <w:tblW w:w="8640"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2880"/>
        <w:gridCol w:w="2880"/>
        <w:gridCol w:w="2880"/>
      </w:tblGrid>
      <w:tr xmlns:wp14="http://schemas.microsoft.com/office/word/2010/wordml" w:rsidTr="3A76FE43" w14:paraId="01DF0ACD" wp14:textId="77777777">
        <w:trPr/>
        <w:tc>
          <w:tcPr>
            <w:tcW w:w="2880" w:type="dxa"/>
            <w:tcBorders/>
            <w:tcMar/>
          </w:tcPr>
          <w:p w14:paraId="0CE8069B" wp14:textId="77777777">
            <w:pPr>
              <w:pStyle w:val="Normal"/>
              <w:widowControl/>
              <w:bidi w:val="0"/>
              <w:spacing w:before="0" w:after="200" w:line="276" w:lineRule="auto"/>
              <w:jc w:val="left"/>
              <w:rPr/>
            </w:pPr>
            <w:r>
              <w:rPr/>
              <w:t>Subquestão</w:t>
            </w:r>
          </w:p>
        </w:tc>
        <w:tc>
          <w:tcPr>
            <w:tcW w:w="2880" w:type="dxa"/>
            <w:tcBorders/>
            <w:tcMar/>
          </w:tcPr>
          <w:p w14:paraId="64EBD1D9" wp14:textId="77777777">
            <w:pPr>
              <w:pStyle w:val="Normal"/>
              <w:widowControl/>
              <w:bidi w:val="0"/>
              <w:spacing w:before="0" w:after="200" w:line="276" w:lineRule="auto"/>
              <w:jc w:val="left"/>
              <w:rPr/>
            </w:pPr>
            <w:r>
              <w:rPr/>
              <w:t>Opção Marcada</w:t>
            </w:r>
          </w:p>
        </w:tc>
        <w:tc>
          <w:tcPr>
            <w:tcW w:w="2880" w:type="dxa"/>
            <w:tcBorders/>
            <w:tcMar/>
          </w:tcPr>
          <w:p w14:paraId="5DCC1A6A" wp14:textId="77777777">
            <w:pPr>
              <w:pStyle w:val="Normal"/>
              <w:widowControl/>
              <w:bidi w:val="0"/>
              <w:spacing w:before="0" w:after="200" w:line="276" w:lineRule="auto"/>
              <w:jc w:val="left"/>
              <w:rPr/>
            </w:pPr>
            <w:r>
              <w:rPr/>
              <w:t>Trecho literal de justificativa (retirado do artigo)</w:t>
            </w:r>
          </w:p>
        </w:tc>
      </w:tr>
      <w:tr xmlns:wp14="http://schemas.microsoft.com/office/word/2010/wordml" w:rsidTr="3A76FE43" w14:paraId="642EE313" wp14:textId="77777777">
        <w:trPr/>
        <w:tc>
          <w:tcPr>
            <w:tcW w:w="2880" w:type="dxa"/>
            <w:tcBorders/>
            <w:tcMar/>
          </w:tcPr>
          <w:p w14:paraId="42E63543" wp14:textId="77777777">
            <w:pPr>
              <w:pStyle w:val="Normal"/>
              <w:widowControl/>
              <w:bidi w:val="0"/>
              <w:spacing w:before="0" w:after="200" w:line="276" w:lineRule="auto"/>
              <w:jc w:val="left"/>
              <w:rPr/>
            </w:pPr>
            <w:r>
              <w:rPr/>
              <w:t>SQ1. Tipo de contribuição</w:t>
            </w:r>
          </w:p>
        </w:tc>
        <w:tc>
          <w:tcPr>
            <w:tcW w:w="2880" w:type="dxa"/>
            <w:tcBorders/>
            <w:tcMar/>
          </w:tcPr>
          <w:p w14:paraId="62805674" wp14:textId="14499736">
            <w:pPr>
              <w:pStyle w:val="Normal"/>
              <w:widowControl w:val="1"/>
              <w:bidi w:val="0"/>
              <w:spacing w:before="0" w:after="200" w:line="276" w:lineRule="auto"/>
              <w:jc w:val="left"/>
            </w:pPr>
            <w:r w:rsidR="3A76FE43">
              <w:rPr/>
              <w:t xml:space="preserve">☑ </w:t>
            </w:r>
            <w:r w:rsidR="3A76FE43">
              <w:rPr/>
              <w:t>Proposta</w:t>
            </w:r>
            <w:r w:rsidR="3A76FE43">
              <w:rPr/>
              <w:t xml:space="preserve"> de solução</w:t>
            </w:r>
          </w:p>
        </w:tc>
        <w:tc>
          <w:tcPr>
            <w:tcW w:w="2880" w:type="dxa"/>
            <w:tcBorders/>
            <w:tcMar/>
          </w:tcPr>
          <w:p w14:paraId="0CBD7550" wp14:textId="77777777">
            <w:pPr>
              <w:pStyle w:val="Normal"/>
              <w:widowControl/>
              <w:bidi w:val="0"/>
              <w:spacing w:before="0" w:after="200" w:line="276" w:lineRule="auto"/>
              <w:jc w:val="left"/>
              <w:rPr/>
            </w:pPr>
            <w:r>
              <w:rPr/>
              <w:t>We present a method for the design and production of real-time animation for projection mapping by integrating artistic co-creative AI, audio-visualization, and data-visualization.</w:t>
            </w:r>
          </w:p>
        </w:tc>
      </w:tr>
      <w:tr xmlns:wp14="http://schemas.microsoft.com/office/word/2010/wordml" w:rsidTr="3A76FE43" w14:paraId="7AE2785A" wp14:textId="77777777">
        <w:trPr/>
        <w:tc>
          <w:tcPr>
            <w:tcW w:w="2880" w:type="dxa"/>
            <w:tcBorders/>
            <w:tcMar/>
          </w:tcPr>
          <w:p w14:paraId="55AF44A4" wp14:textId="77777777">
            <w:pPr>
              <w:pStyle w:val="Normal"/>
              <w:widowControl/>
              <w:bidi w:val="0"/>
              <w:spacing w:before="0" w:after="200" w:line="276" w:lineRule="auto"/>
              <w:jc w:val="left"/>
              <w:rPr/>
            </w:pPr>
            <w:r>
              <w:rPr/>
              <w:t>SQ2. Área do conhecimento</w:t>
            </w:r>
          </w:p>
        </w:tc>
        <w:tc>
          <w:tcPr>
            <w:tcW w:w="2880" w:type="dxa"/>
            <w:tcBorders/>
            <w:tcMar/>
          </w:tcPr>
          <w:p w14:paraId="74C2F905" wp14:textId="77777777">
            <w:pPr>
              <w:pStyle w:val="Normal"/>
              <w:widowControl/>
              <w:bidi w:val="0"/>
              <w:spacing w:before="0" w:after="200" w:line="276" w:lineRule="auto"/>
              <w:jc w:val="left"/>
              <w:rPr/>
            </w:pPr>
            <w:r>
              <w:rPr/>
              <w:t xml:space="preserve">☑ </w:t>
            </w:r>
            <w:r>
              <w:rPr/>
              <w:t>Artes Digitais ☑ Interação Humano-Computador ☑ IA Aplicada ao Audiovisual</w:t>
            </w:r>
          </w:p>
        </w:tc>
        <w:tc>
          <w:tcPr>
            <w:tcW w:w="2880" w:type="dxa"/>
            <w:tcBorders/>
            <w:tcMar/>
          </w:tcPr>
          <w:p w14:paraId="6E992A75" wp14:textId="77777777">
            <w:pPr>
              <w:pStyle w:val="Normal"/>
              <w:widowControl/>
              <w:bidi w:val="0"/>
              <w:spacing w:before="0" w:after="200" w:line="276" w:lineRule="auto"/>
              <w:jc w:val="left"/>
              <w:rPr/>
            </w:pPr>
            <w:r>
              <w:rPr/>
              <w:t>The related work for this research can be categorized into three main areas: AI-driven art, audio-visualization, and data-visualization.</w:t>
            </w:r>
          </w:p>
        </w:tc>
      </w:tr>
      <w:tr xmlns:wp14="http://schemas.microsoft.com/office/word/2010/wordml" w:rsidTr="3A76FE43" w14:paraId="44C21F3F" wp14:textId="77777777">
        <w:trPr/>
        <w:tc>
          <w:tcPr>
            <w:tcW w:w="2880" w:type="dxa"/>
            <w:tcBorders/>
            <w:tcMar/>
          </w:tcPr>
          <w:p w14:paraId="0851B70A" wp14:textId="77777777">
            <w:pPr>
              <w:pStyle w:val="Normal"/>
              <w:widowControl/>
              <w:bidi w:val="0"/>
              <w:spacing w:before="0" w:after="200" w:line="276" w:lineRule="auto"/>
              <w:jc w:val="left"/>
              <w:rPr/>
            </w:pPr>
            <w:r>
              <w:rPr/>
              <w:t>SQ3. Foco principal da aplicação da IAG</w:t>
            </w:r>
          </w:p>
        </w:tc>
        <w:tc>
          <w:tcPr>
            <w:tcW w:w="2880" w:type="dxa"/>
            <w:tcBorders/>
            <w:tcMar/>
          </w:tcPr>
          <w:p w14:paraId="03E9C504" wp14:textId="77777777">
            <w:pPr>
              <w:pStyle w:val="Normal"/>
              <w:widowControl/>
              <w:bidi w:val="0"/>
              <w:spacing w:before="0" w:after="200" w:line="276" w:lineRule="auto"/>
              <w:jc w:val="left"/>
              <w:rPr/>
            </w:pPr>
            <w:r>
              <w:rPr/>
              <w:t xml:space="preserve">☑ </w:t>
            </w:r>
            <w:r>
              <w:rPr/>
              <w:t>Animação em tempo real para arte pública</w:t>
            </w:r>
          </w:p>
        </w:tc>
        <w:tc>
          <w:tcPr>
            <w:tcW w:w="2880" w:type="dxa"/>
            <w:tcBorders/>
            <w:tcMar/>
          </w:tcPr>
          <w:p w14:paraId="3700409C" wp14:textId="77777777">
            <w:pPr>
              <w:pStyle w:val="Normal"/>
              <w:widowControl/>
              <w:bidi w:val="0"/>
              <w:spacing w:before="0" w:after="200" w:line="276" w:lineRule="auto"/>
              <w:jc w:val="left"/>
              <w:rPr/>
            </w:pPr>
            <w:r>
              <w:rPr/>
              <w:t>We address these challenges by proposing a method for the design and production of real-time animation for projection mapping through AI and data-driven animation.</w:t>
            </w:r>
          </w:p>
        </w:tc>
      </w:tr>
      <w:tr xmlns:wp14="http://schemas.microsoft.com/office/word/2010/wordml" w:rsidTr="3A76FE43" w14:paraId="0D095EAF" wp14:textId="77777777">
        <w:trPr/>
        <w:tc>
          <w:tcPr>
            <w:tcW w:w="2880" w:type="dxa"/>
            <w:tcBorders/>
            <w:tcMar/>
          </w:tcPr>
          <w:p w14:paraId="58C5EA78" wp14:textId="77777777">
            <w:pPr>
              <w:pStyle w:val="Normal"/>
              <w:widowControl/>
              <w:bidi w:val="0"/>
              <w:spacing w:before="0" w:after="200" w:line="276" w:lineRule="auto"/>
              <w:jc w:val="left"/>
              <w:rPr/>
            </w:pPr>
            <w:r>
              <w:rPr/>
              <w:t>SQ4. Tecnologia de IAG empregada</w:t>
            </w:r>
          </w:p>
        </w:tc>
        <w:tc>
          <w:tcPr>
            <w:tcW w:w="2880" w:type="dxa"/>
            <w:tcBorders/>
            <w:tcMar/>
          </w:tcPr>
          <w:p w14:paraId="4F703FB7" wp14:textId="77777777">
            <w:pPr>
              <w:pStyle w:val="Normal"/>
              <w:widowControl/>
              <w:bidi w:val="0"/>
              <w:spacing w:before="0" w:after="200" w:line="276" w:lineRule="auto"/>
              <w:jc w:val="left"/>
              <w:rPr/>
            </w:pPr>
            <w:r>
              <w:rPr/>
              <w:t xml:space="preserve">☑ </w:t>
            </w:r>
            <w:r>
              <w:rPr/>
              <w:t>Stable Diffusion ☑ ControlNet</w:t>
            </w:r>
          </w:p>
        </w:tc>
        <w:tc>
          <w:tcPr>
            <w:tcW w:w="2880" w:type="dxa"/>
            <w:tcBorders/>
            <w:tcMar/>
          </w:tcPr>
          <w:p w14:paraId="24366A95" wp14:textId="77777777">
            <w:pPr>
              <w:pStyle w:val="Normal"/>
              <w:widowControl/>
              <w:bidi w:val="0"/>
              <w:spacing w:before="0" w:after="200" w:line="276" w:lineRule="auto"/>
              <w:jc w:val="left"/>
              <w:rPr/>
            </w:pPr>
            <w:r>
              <w:rPr/>
              <w:t>We leverage Stable Diffusion to streamline the concept design phase, and utilize Unreal Engine to facilitate the production of the animation.</w:t>
            </w:r>
          </w:p>
        </w:tc>
      </w:tr>
      <w:tr xmlns:wp14="http://schemas.microsoft.com/office/word/2010/wordml" w:rsidTr="3A76FE43" w14:paraId="313C7E2D" wp14:textId="77777777">
        <w:trPr/>
        <w:tc>
          <w:tcPr>
            <w:tcW w:w="2880" w:type="dxa"/>
            <w:tcBorders/>
            <w:tcMar/>
          </w:tcPr>
          <w:p w14:paraId="32A74183" wp14:textId="77777777">
            <w:pPr>
              <w:pStyle w:val="Normal"/>
              <w:widowControl/>
              <w:bidi w:val="0"/>
              <w:spacing w:before="0" w:after="200" w:line="276" w:lineRule="auto"/>
              <w:jc w:val="left"/>
              <w:rPr/>
            </w:pPr>
            <w:r>
              <w:rPr/>
              <w:t>SQ4.1. Critérios / métricas de qualidade</w:t>
            </w:r>
          </w:p>
        </w:tc>
        <w:tc>
          <w:tcPr>
            <w:tcW w:w="2880" w:type="dxa"/>
            <w:tcBorders/>
            <w:tcMar/>
          </w:tcPr>
          <w:p w14:paraId="57278C37" wp14:textId="77777777">
            <w:pPr>
              <w:pStyle w:val="Normal"/>
              <w:widowControl/>
              <w:bidi w:val="0"/>
              <w:spacing w:before="0" w:after="200" w:line="276" w:lineRule="auto"/>
              <w:jc w:val="left"/>
              <w:rPr/>
            </w:pPr>
            <w:r>
              <w:rPr/>
              <w:t>–</w:t>
            </w:r>
          </w:p>
        </w:tc>
        <w:tc>
          <w:tcPr>
            <w:tcW w:w="2880" w:type="dxa"/>
            <w:tcBorders/>
            <w:tcMar/>
          </w:tcPr>
          <w:p w14:paraId="3C90C42F" wp14:textId="77777777">
            <w:pPr>
              <w:pStyle w:val="Normal"/>
              <w:widowControl/>
              <w:bidi w:val="0"/>
              <w:spacing w:before="0" w:after="200" w:line="276" w:lineRule="auto"/>
              <w:jc w:val="left"/>
              <w:rPr/>
            </w:pPr>
            <w:r>
              <w:rPr/>
              <w:t>The efficacy of this approach is yet to be empirically verified.</w:t>
            </w:r>
          </w:p>
        </w:tc>
      </w:tr>
      <w:tr xmlns:wp14="http://schemas.microsoft.com/office/word/2010/wordml" w:rsidTr="3A76FE43" w14:paraId="7890AAF5" wp14:textId="77777777">
        <w:trPr/>
        <w:tc>
          <w:tcPr>
            <w:tcW w:w="2880" w:type="dxa"/>
            <w:tcBorders/>
            <w:tcMar/>
          </w:tcPr>
          <w:p w14:paraId="3C55760F" wp14:textId="77777777">
            <w:pPr>
              <w:pStyle w:val="Normal"/>
              <w:widowControl/>
              <w:bidi w:val="0"/>
              <w:spacing w:before="0" w:after="200" w:line="276" w:lineRule="auto"/>
              <w:jc w:val="left"/>
              <w:rPr/>
            </w:pPr>
            <w:r>
              <w:rPr/>
              <w:t>SQ4.2. Conclusões sobre o conteúdo gerado</w:t>
            </w:r>
          </w:p>
        </w:tc>
        <w:tc>
          <w:tcPr>
            <w:tcW w:w="2880" w:type="dxa"/>
            <w:tcBorders/>
            <w:tcMar/>
          </w:tcPr>
          <w:p w14:paraId="5B2EDD13" wp14:textId="77777777">
            <w:pPr>
              <w:pStyle w:val="Normal"/>
              <w:widowControl/>
              <w:bidi w:val="0"/>
              <w:spacing w:before="0" w:after="200" w:line="276" w:lineRule="auto"/>
              <w:jc w:val="left"/>
              <w:rPr/>
            </w:pPr>
            <w:r>
              <w:rPr/>
              <w:t>–</w:t>
            </w:r>
          </w:p>
        </w:tc>
        <w:tc>
          <w:tcPr>
            <w:tcW w:w="2880" w:type="dxa"/>
            <w:tcBorders/>
            <w:tcMar/>
          </w:tcPr>
          <w:p w14:paraId="67AE353B" wp14:textId="77777777">
            <w:pPr>
              <w:pStyle w:val="Normal"/>
              <w:widowControl/>
              <w:bidi w:val="0"/>
              <w:spacing w:before="0" w:after="200" w:line="276" w:lineRule="auto"/>
              <w:jc w:val="left"/>
              <w:rPr/>
            </w:pPr>
            <w:r>
              <w:rPr/>
              <w:t>This approach reshapes the conventional, human-centric process into a harmonious blend of human creativity, AI capabilities, and data insights.</w:t>
            </w:r>
          </w:p>
        </w:tc>
      </w:tr>
      <w:tr xmlns:wp14="http://schemas.microsoft.com/office/word/2010/wordml" w:rsidTr="3A76FE43" w14:paraId="4749FB04" wp14:textId="77777777">
        <w:trPr/>
        <w:tc>
          <w:tcPr>
            <w:tcW w:w="2880" w:type="dxa"/>
            <w:tcBorders/>
            <w:tcMar/>
          </w:tcPr>
          <w:p w14:paraId="6B93870C" wp14:textId="77777777">
            <w:pPr>
              <w:pStyle w:val="Normal"/>
              <w:widowControl/>
              <w:bidi w:val="0"/>
              <w:spacing w:before="0" w:after="200" w:line="276" w:lineRule="auto"/>
              <w:jc w:val="left"/>
              <w:rPr/>
            </w:pPr>
            <w:r>
              <w:rPr/>
              <w:t>SQ5. Forma de uso da IAG</w:t>
            </w:r>
          </w:p>
        </w:tc>
        <w:tc>
          <w:tcPr>
            <w:tcW w:w="2880" w:type="dxa"/>
            <w:tcBorders/>
            <w:tcMar/>
          </w:tcPr>
          <w:p w14:paraId="3B06EB7E" wp14:textId="77777777">
            <w:pPr>
              <w:pStyle w:val="Normal"/>
              <w:widowControl/>
              <w:bidi w:val="0"/>
              <w:spacing w:before="0" w:after="200" w:line="276" w:lineRule="auto"/>
              <w:jc w:val="left"/>
              <w:rPr/>
            </w:pPr>
            <w:r>
              <w:rPr/>
              <w:t xml:space="preserve">☑ </w:t>
            </w:r>
            <w:r>
              <w:rPr/>
              <w:t>Ferramenta original de co-criação para design conceitual</w:t>
            </w:r>
          </w:p>
        </w:tc>
        <w:tc>
          <w:tcPr>
            <w:tcW w:w="2880" w:type="dxa"/>
            <w:tcBorders/>
            <w:tcMar/>
          </w:tcPr>
          <w:p w14:paraId="731DE25D" wp14:textId="77777777">
            <w:pPr>
              <w:pStyle w:val="Normal"/>
              <w:widowControl/>
              <w:bidi w:val="0"/>
              <w:spacing w:before="0" w:after="200" w:line="276" w:lineRule="auto"/>
              <w:jc w:val="left"/>
              <w:rPr/>
            </w:pPr>
            <w:r>
              <w:rPr/>
              <w:t>In the development of 'Urban Symphony,' we harness the capabilities of co-creative AI, specifically the AIGC tool, Stable Diffusion, to facilitate the conceptual design for projection mapping animation.</w:t>
            </w:r>
          </w:p>
        </w:tc>
      </w:tr>
      <w:tr xmlns:wp14="http://schemas.microsoft.com/office/word/2010/wordml" w:rsidTr="3A76FE43" w14:paraId="1218F77A" wp14:textId="77777777">
        <w:trPr/>
        <w:tc>
          <w:tcPr>
            <w:tcW w:w="2880" w:type="dxa"/>
            <w:tcBorders/>
            <w:tcMar/>
          </w:tcPr>
          <w:p w14:paraId="3E7444B4" wp14:textId="77777777">
            <w:pPr>
              <w:pStyle w:val="Normal"/>
              <w:widowControl/>
              <w:bidi w:val="0"/>
              <w:spacing w:before="0" w:after="200" w:line="276" w:lineRule="auto"/>
              <w:jc w:val="left"/>
              <w:rPr/>
            </w:pPr>
            <w:r>
              <w:rPr/>
              <w:t>SQ6. Desafios técnicos</w:t>
            </w:r>
          </w:p>
        </w:tc>
        <w:tc>
          <w:tcPr>
            <w:tcW w:w="2880" w:type="dxa"/>
            <w:tcBorders/>
            <w:tcMar/>
          </w:tcPr>
          <w:p w14:paraId="76ADC5E8" wp14:textId="77777777">
            <w:pPr>
              <w:pStyle w:val="Normal"/>
              <w:widowControl/>
              <w:bidi w:val="0"/>
              <w:spacing w:before="0" w:after="200" w:line="276" w:lineRule="auto"/>
              <w:jc w:val="left"/>
              <w:rPr/>
            </w:pPr>
            <w:r>
              <w:rPr/>
              <w:t xml:space="preserve">☑ </w:t>
            </w:r>
            <w:r>
              <w:rPr/>
              <w:t>Integração de IA e dados ☑ Verificação empírica pendente</w:t>
            </w:r>
          </w:p>
        </w:tc>
        <w:tc>
          <w:tcPr>
            <w:tcW w:w="2880" w:type="dxa"/>
            <w:tcBorders/>
            <w:tcMar/>
          </w:tcPr>
          <w:p w14:paraId="0632905A" wp14:textId="77777777">
            <w:pPr>
              <w:pStyle w:val="Normal"/>
              <w:widowControl/>
              <w:bidi w:val="0"/>
              <w:spacing w:before="0" w:after="200" w:line="276" w:lineRule="auto"/>
              <w:jc w:val="left"/>
              <w:rPr/>
            </w:pPr>
            <w:r>
              <w:rPr/>
              <w:t>It is important to note, however, that the efficacy of this approach is yet to be empirically verified.</w:t>
            </w:r>
          </w:p>
        </w:tc>
      </w:tr>
      <w:tr xmlns:wp14="http://schemas.microsoft.com/office/word/2010/wordml" w:rsidTr="3A76FE43" w14:paraId="29A680EE" wp14:textId="77777777">
        <w:trPr/>
        <w:tc>
          <w:tcPr>
            <w:tcW w:w="2880" w:type="dxa"/>
            <w:tcBorders/>
            <w:tcMar/>
          </w:tcPr>
          <w:p w14:paraId="03D1A41F" wp14:textId="77777777">
            <w:pPr>
              <w:pStyle w:val="Normal"/>
              <w:widowControl/>
              <w:bidi w:val="0"/>
              <w:spacing w:before="0" w:after="200" w:line="276" w:lineRule="auto"/>
              <w:jc w:val="left"/>
              <w:rPr/>
            </w:pPr>
            <w:r>
              <w:rPr/>
              <w:t>SQ7. Desafios éticos e criativos</w:t>
            </w:r>
          </w:p>
        </w:tc>
        <w:tc>
          <w:tcPr>
            <w:tcW w:w="2880" w:type="dxa"/>
            <w:tcBorders/>
            <w:tcMar/>
          </w:tcPr>
          <w:p w14:paraId="6CC8F6ED" wp14:textId="77777777">
            <w:pPr>
              <w:pStyle w:val="Normal"/>
              <w:widowControl/>
              <w:bidi w:val="0"/>
              <w:spacing w:before="0" w:after="200" w:line="276" w:lineRule="auto"/>
              <w:jc w:val="left"/>
              <w:rPr/>
            </w:pPr>
            <w:r>
              <w:rPr/>
              <w:t xml:space="preserve">☑ </w:t>
            </w:r>
            <w:r>
              <w:rPr/>
              <w:t>Colaboração homem-máquina na autoria criativa</w:t>
            </w:r>
          </w:p>
        </w:tc>
        <w:tc>
          <w:tcPr>
            <w:tcW w:w="2880" w:type="dxa"/>
            <w:tcBorders/>
            <w:tcMar/>
          </w:tcPr>
          <w:p w14:paraId="7DFB3177" wp14:textId="77777777">
            <w:pPr>
              <w:pStyle w:val="Normal"/>
              <w:widowControl/>
              <w:bidi w:val="0"/>
              <w:spacing w:before="0" w:after="200" w:line="276" w:lineRule="auto"/>
              <w:jc w:val="left"/>
              <w:rPr/>
            </w:pPr>
            <w:r>
              <w:rPr/>
              <w:t>This co-creative AI procedure involves repetitive cycles of human input, AI generation, and human evaluation, allowing the artist to focus on overarching creative decisions, while the AI system proffers novel visual concepts and combinations.</w:t>
            </w:r>
          </w:p>
        </w:tc>
      </w:tr>
      <w:tr xmlns:wp14="http://schemas.microsoft.com/office/word/2010/wordml" w:rsidTr="3A76FE43" w14:paraId="36693B18" wp14:textId="77777777">
        <w:trPr/>
        <w:tc>
          <w:tcPr>
            <w:tcW w:w="2880" w:type="dxa"/>
            <w:tcBorders/>
            <w:tcMar/>
          </w:tcPr>
          <w:p w14:paraId="6328F0E5" wp14:textId="77777777">
            <w:pPr>
              <w:pStyle w:val="Normal"/>
              <w:widowControl/>
              <w:bidi w:val="0"/>
              <w:spacing w:before="0" w:after="200" w:line="276" w:lineRule="auto"/>
              <w:jc w:val="left"/>
              <w:rPr/>
            </w:pPr>
            <w:r>
              <w:rPr/>
              <w:t>SQ8. Apresenta análises empíricas?</w:t>
            </w:r>
          </w:p>
        </w:tc>
        <w:tc>
          <w:tcPr>
            <w:tcW w:w="2880" w:type="dxa"/>
            <w:tcBorders/>
            <w:tcMar/>
          </w:tcPr>
          <w:p w14:paraId="135DC3C9" wp14:textId="77777777">
            <w:pPr>
              <w:pStyle w:val="Normal"/>
              <w:widowControl/>
              <w:bidi w:val="0"/>
              <w:spacing w:before="0" w:after="200" w:line="276" w:lineRule="auto"/>
              <w:jc w:val="left"/>
              <w:rPr/>
            </w:pPr>
            <w:r>
              <w:rPr/>
              <w:t xml:space="preserve">☑ </w:t>
            </w:r>
            <w:r>
              <w:rPr/>
              <w:t>Não (a avaliação empírica é proposta como trabalho futuro)</w:t>
            </w:r>
          </w:p>
        </w:tc>
        <w:tc>
          <w:tcPr>
            <w:tcW w:w="2880" w:type="dxa"/>
            <w:tcBorders/>
            <w:tcMar/>
          </w:tcPr>
          <w:p w14:paraId="6D8E7F2B" wp14:textId="77777777">
            <w:pPr>
              <w:pStyle w:val="Normal"/>
              <w:widowControl/>
              <w:bidi w:val="0"/>
              <w:spacing w:before="0" w:after="200" w:line="276" w:lineRule="auto"/>
              <w:jc w:val="left"/>
              <w:rPr/>
            </w:pPr>
            <w:r>
              <w:rPr/>
              <w:t>Future research is proposed to involve comprehensive quantitative user studies among animation designers and audiences.</w:t>
            </w:r>
          </w:p>
        </w:tc>
      </w:tr>
      <w:tr xmlns:wp14="http://schemas.microsoft.com/office/word/2010/wordml" w:rsidTr="3A76FE43" w14:paraId="288433B2" wp14:textId="77777777">
        <w:trPr/>
        <w:tc>
          <w:tcPr>
            <w:tcW w:w="2880" w:type="dxa"/>
            <w:tcBorders/>
            <w:tcMar/>
          </w:tcPr>
          <w:p w14:paraId="703474DA" wp14:textId="77777777">
            <w:pPr>
              <w:pStyle w:val="Normal"/>
              <w:widowControl/>
              <w:bidi w:val="0"/>
              <w:spacing w:before="0" w:after="200" w:line="276" w:lineRule="auto"/>
              <w:jc w:val="left"/>
              <w:rPr/>
            </w:pPr>
            <w:r>
              <w:rPr/>
              <w:t>SQ8.1. Método empírico adotado</w:t>
            </w:r>
          </w:p>
        </w:tc>
        <w:tc>
          <w:tcPr>
            <w:tcW w:w="2880" w:type="dxa"/>
            <w:tcBorders/>
            <w:tcMar/>
          </w:tcPr>
          <w:p w14:paraId="6A6552F4" wp14:textId="77777777">
            <w:pPr>
              <w:pStyle w:val="Normal"/>
              <w:widowControl/>
              <w:bidi w:val="0"/>
              <w:spacing w:before="0" w:after="200" w:line="276" w:lineRule="auto"/>
              <w:jc w:val="left"/>
              <w:rPr/>
            </w:pPr>
            <w:r>
              <w:rPr/>
              <w:t>–</w:t>
            </w:r>
          </w:p>
        </w:tc>
        <w:tc>
          <w:tcPr>
            <w:tcW w:w="2880" w:type="dxa"/>
            <w:tcBorders/>
            <w:tcMar/>
          </w:tcPr>
          <w:p w14:paraId="6D8A8A0A" wp14:textId="77777777">
            <w:pPr>
              <w:pStyle w:val="Normal"/>
              <w:widowControl/>
              <w:bidi w:val="0"/>
              <w:spacing w:before="0" w:after="200" w:line="276" w:lineRule="auto"/>
              <w:jc w:val="left"/>
              <w:rPr/>
            </w:pPr>
            <w:r>
              <w:rPr/>
              <w:t>The efficacy of this approach is yet to be empirically verified.</w:t>
            </w:r>
          </w:p>
        </w:tc>
      </w:tr>
      <w:tr xmlns:wp14="http://schemas.microsoft.com/office/word/2010/wordml" w:rsidTr="3A76FE43" w14:paraId="4BEC4053" wp14:textId="77777777">
        <w:trPr/>
        <w:tc>
          <w:tcPr>
            <w:tcW w:w="2880" w:type="dxa"/>
            <w:tcBorders/>
            <w:tcMar/>
          </w:tcPr>
          <w:p w14:paraId="7E02D08E" wp14:textId="77777777">
            <w:pPr>
              <w:pStyle w:val="Normal"/>
              <w:widowControl/>
              <w:bidi w:val="0"/>
              <w:spacing w:before="0" w:after="200" w:line="276" w:lineRule="auto"/>
              <w:jc w:val="left"/>
              <w:rPr/>
            </w:pPr>
            <w:r>
              <w:rPr/>
              <w:t>SQ8.2. Quantidade de participantes</w:t>
            </w:r>
          </w:p>
        </w:tc>
        <w:tc>
          <w:tcPr>
            <w:tcW w:w="2880" w:type="dxa"/>
            <w:tcBorders/>
            <w:tcMar/>
          </w:tcPr>
          <w:p w14:paraId="4851089E" wp14:textId="77777777">
            <w:pPr>
              <w:pStyle w:val="Normal"/>
              <w:widowControl/>
              <w:bidi w:val="0"/>
              <w:spacing w:before="0" w:after="200" w:line="276" w:lineRule="auto"/>
              <w:jc w:val="left"/>
              <w:rPr/>
            </w:pPr>
            <w:r>
              <w:rPr/>
              <w:t>–</w:t>
            </w:r>
          </w:p>
        </w:tc>
        <w:tc>
          <w:tcPr>
            <w:tcW w:w="2880" w:type="dxa"/>
            <w:tcBorders/>
            <w:tcMar/>
          </w:tcPr>
          <w:p w14:paraId="6E7F426B" wp14:textId="77777777">
            <w:pPr>
              <w:pStyle w:val="Normal"/>
              <w:widowControl/>
              <w:bidi w:val="0"/>
              <w:spacing w:before="0" w:after="200" w:line="276" w:lineRule="auto"/>
              <w:jc w:val="left"/>
              <w:rPr/>
            </w:pPr>
            <w:r>
              <w:rPr/>
              <w:t>(não há menção a participantes ou amostra no artigo)</w:t>
            </w:r>
          </w:p>
        </w:tc>
      </w:tr>
      <w:tr xmlns:wp14="http://schemas.microsoft.com/office/word/2010/wordml" w:rsidTr="3A76FE43" w14:paraId="6423AE0A" wp14:textId="77777777">
        <w:trPr/>
        <w:tc>
          <w:tcPr>
            <w:tcW w:w="2880" w:type="dxa"/>
            <w:tcBorders/>
            <w:tcMar/>
          </w:tcPr>
          <w:p w14:paraId="79864D09" wp14:textId="77777777">
            <w:pPr>
              <w:pStyle w:val="Normal"/>
              <w:widowControl/>
              <w:bidi w:val="0"/>
              <w:spacing w:before="0" w:after="200" w:line="276" w:lineRule="auto"/>
              <w:jc w:val="left"/>
              <w:rPr/>
            </w:pPr>
            <w:r>
              <w:rPr/>
              <w:t>SQ9. Finalidade principal da IAG</w:t>
            </w:r>
          </w:p>
        </w:tc>
        <w:tc>
          <w:tcPr>
            <w:tcW w:w="2880" w:type="dxa"/>
            <w:tcBorders/>
            <w:tcMar/>
          </w:tcPr>
          <w:p w14:paraId="1EAEE2CD" wp14:textId="77777777">
            <w:pPr>
              <w:pStyle w:val="Normal"/>
              <w:widowControl/>
              <w:bidi w:val="0"/>
              <w:spacing w:before="0" w:after="200" w:line="276" w:lineRule="auto"/>
              <w:jc w:val="left"/>
              <w:rPr/>
            </w:pPr>
            <w:r>
              <w:rPr/>
              <w:t xml:space="preserve">☑ </w:t>
            </w:r>
            <w:r>
              <w:rPr/>
              <w:t>Suporte criativo / co-criação de arte pública</w:t>
            </w:r>
          </w:p>
        </w:tc>
        <w:tc>
          <w:tcPr>
            <w:tcW w:w="2880" w:type="dxa"/>
            <w:tcBorders/>
            <w:tcMar/>
          </w:tcPr>
          <w:p w14:paraId="3AB61CEF" wp14:textId="77777777">
            <w:pPr>
              <w:pStyle w:val="Normal"/>
              <w:widowControl/>
              <w:bidi w:val="0"/>
              <w:spacing w:before="0" w:after="200" w:line="276" w:lineRule="auto"/>
              <w:jc w:val="left"/>
              <w:rPr/>
            </w:pPr>
            <w:r>
              <w:rPr/>
              <w:t>By incorporating co-creative AI, audio-visualization, and data-visualization techniques, 'Urban Symphony' epitomizes the creative potential of interdisciplinary collaboration in urban public art.</w:t>
            </w:r>
          </w:p>
        </w:tc>
      </w:tr>
      <w:tr xmlns:wp14="http://schemas.microsoft.com/office/word/2010/wordml" w:rsidTr="3A76FE43" w14:paraId="2C63A879" wp14:textId="77777777">
        <w:trPr/>
        <w:tc>
          <w:tcPr>
            <w:tcW w:w="2880" w:type="dxa"/>
            <w:tcBorders/>
            <w:tcMar/>
          </w:tcPr>
          <w:p w14:paraId="1D9157B9" wp14:textId="77777777">
            <w:pPr>
              <w:pStyle w:val="Normal"/>
              <w:widowControl/>
              <w:bidi w:val="0"/>
              <w:spacing w:before="0" w:after="200" w:line="276" w:lineRule="auto"/>
              <w:jc w:val="left"/>
              <w:rPr/>
            </w:pPr>
            <w:r>
              <w:rPr/>
              <w:t>SQ10. Tipos de conteúdo gerado</w:t>
            </w:r>
          </w:p>
        </w:tc>
        <w:tc>
          <w:tcPr>
            <w:tcW w:w="2880" w:type="dxa"/>
            <w:tcBorders/>
            <w:tcMar/>
          </w:tcPr>
          <w:p w14:paraId="0422CDC9" wp14:textId="77777777">
            <w:pPr>
              <w:pStyle w:val="Normal"/>
              <w:widowControl/>
              <w:bidi w:val="0"/>
              <w:spacing w:before="0" w:after="200" w:line="276" w:lineRule="auto"/>
              <w:jc w:val="left"/>
              <w:rPr/>
            </w:pPr>
            <w:r>
              <w:rPr/>
              <w:t xml:space="preserve">☑ </w:t>
            </w:r>
            <w:r>
              <w:rPr/>
              <w:t>Animações 3D ☑ Visualizações de dados ☑ Visualizações áudio-reativas</w:t>
            </w:r>
          </w:p>
        </w:tc>
        <w:tc>
          <w:tcPr>
            <w:tcW w:w="2880" w:type="dxa"/>
            <w:tcBorders/>
            <w:tcMar/>
          </w:tcPr>
          <w:p w14:paraId="2BD9D5AB" wp14:textId="77777777">
            <w:pPr>
              <w:pStyle w:val="Normal"/>
              <w:widowControl/>
              <w:bidi w:val="0"/>
              <w:spacing w:before="0" w:after="200" w:line="276" w:lineRule="auto"/>
              <w:jc w:val="left"/>
              <w:rPr/>
            </w:pPr>
            <w:r>
              <w:rPr/>
              <w:t>The initial phase of the performance deploys audio-driven animation, in which the scale of diverse abstract objects corresponds directly to the audio amplitude across various frequencies.</w:t>
            </w:r>
          </w:p>
        </w:tc>
      </w:tr>
      <w:tr xmlns:wp14="http://schemas.microsoft.com/office/word/2010/wordml" w:rsidTr="3A76FE43" w14:paraId="3E0CBD5B" wp14:textId="77777777">
        <w:trPr/>
        <w:tc>
          <w:tcPr>
            <w:tcW w:w="2880" w:type="dxa"/>
            <w:tcBorders/>
            <w:tcMar/>
          </w:tcPr>
          <w:p w14:paraId="3A0B3598" wp14:textId="77777777">
            <w:pPr>
              <w:pStyle w:val="Normal"/>
              <w:widowControl/>
              <w:bidi w:val="0"/>
              <w:spacing w:before="0" w:after="200" w:line="276" w:lineRule="auto"/>
              <w:jc w:val="left"/>
              <w:rPr/>
            </w:pPr>
            <w:r>
              <w:rPr/>
              <w:t>SQ11. Tipo de dispositivo / tecnologia usada</w:t>
            </w:r>
          </w:p>
        </w:tc>
        <w:tc>
          <w:tcPr>
            <w:tcW w:w="2880" w:type="dxa"/>
            <w:tcBorders/>
            <w:tcMar/>
          </w:tcPr>
          <w:p w14:paraId="1BDCB2A5" wp14:textId="77777777">
            <w:pPr>
              <w:pStyle w:val="Normal"/>
              <w:widowControl/>
              <w:bidi w:val="0"/>
              <w:spacing w:before="0" w:after="200" w:line="276" w:lineRule="auto"/>
              <w:jc w:val="left"/>
              <w:rPr/>
            </w:pPr>
            <w:r>
              <w:rPr/>
              <w:t xml:space="preserve">☑ </w:t>
            </w:r>
            <w:r>
              <w:rPr/>
              <w:t>Unreal Engine ☑ GPU ☑ Projeção mapeada em edifícios</w:t>
            </w:r>
          </w:p>
        </w:tc>
        <w:tc>
          <w:tcPr>
            <w:tcW w:w="2880" w:type="dxa"/>
            <w:tcBorders/>
            <w:tcMar/>
          </w:tcPr>
          <w:p w14:paraId="733E4DA1" wp14:textId="77777777">
            <w:pPr>
              <w:pStyle w:val="Normal"/>
              <w:widowControl/>
              <w:bidi w:val="0"/>
              <w:spacing w:before="0" w:after="200" w:line="276" w:lineRule="auto"/>
              <w:jc w:val="left"/>
              <w:rPr/>
            </w:pPr>
            <w:r>
              <w:rPr/>
              <w:t>Ten projectors employing projection mapping technology illuminate the silo facades, meticulously aligning visuals to create a grand spectacle.</w:t>
            </w:r>
          </w:p>
        </w:tc>
      </w:tr>
      <w:tr xmlns:wp14="http://schemas.microsoft.com/office/word/2010/wordml" w:rsidTr="3A76FE43" w14:paraId="31270BF7" wp14:textId="77777777">
        <w:trPr/>
        <w:tc>
          <w:tcPr>
            <w:tcW w:w="2880" w:type="dxa"/>
            <w:tcBorders/>
            <w:tcMar/>
          </w:tcPr>
          <w:p w14:paraId="7708FA52" wp14:textId="77777777">
            <w:pPr>
              <w:pStyle w:val="Normal"/>
              <w:widowControl/>
              <w:bidi w:val="0"/>
              <w:spacing w:before="0" w:after="200" w:line="276" w:lineRule="auto"/>
              <w:jc w:val="left"/>
              <w:rPr/>
            </w:pPr>
            <w:r>
              <w:rPr/>
              <w:t>SQ12. Tipo de interação com a IAG</w:t>
            </w:r>
          </w:p>
        </w:tc>
        <w:tc>
          <w:tcPr>
            <w:tcW w:w="2880" w:type="dxa"/>
            <w:tcBorders/>
            <w:tcMar/>
          </w:tcPr>
          <w:p w14:paraId="0F98F18C" wp14:textId="77777777">
            <w:pPr>
              <w:pStyle w:val="Normal"/>
              <w:widowControl/>
              <w:bidi w:val="0"/>
              <w:spacing w:before="0" w:after="200" w:line="276" w:lineRule="auto"/>
              <w:jc w:val="left"/>
              <w:rPr/>
            </w:pPr>
            <w:r>
              <w:rPr/>
              <w:t xml:space="preserve">☑ </w:t>
            </w:r>
            <w:r>
              <w:rPr/>
              <w:t>Iteração humano-IA no processo de design ☑ Controle paramétrico (visualização e áudio)</w:t>
            </w:r>
          </w:p>
        </w:tc>
        <w:tc>
          <w:tcPr>
            <w:tcW w:w="2880" w:type="dxa"/>
            <w:tcBorders/>
            <w:tcMar/>
          </w:tcPr>
          <w:p w14:paraId="650888D3" wp14:textId="77777777">
            <w:pPr>
              <w:pStyle w:val="Normal"/>
              <w:widowControl/>
              <w:bidi w:val="0"/>
              <w:spacing w:before="0" w:after="200" w:line="276" w:lineRule="auto"/>
              <w:jc w:val="left"/>
              <w:rPr/>
            </w:pPr>
            <w:r>
              <w:rPr/>
              <w:t>This co-creative AI procedure involves repetitive cycles of human input, AI generation, and human evaluation.</w:t>
            </w:r>
          </w:p>
        </w:tc>
      </w:tr>
      <w:tr xmlns:wp14="http://schemas.microsoft.com/office/word/2010/wordml" w:rsidTr="3A76FE43" w14:paraId="64CE60D1" wp14:textId="77777777">
        <w:trPr/>
        <w:tc>
          <w:tcPr>
            <w:tcW w:w="2880" w:type="dxa"/>
            <w:tcBorders/>
            <w:tcMar/>
          </w:tcPr>
          <w:p w14:paraId="7BCFE703" wp14:textId="77777777">
            <w:pPr>
              <w:pStyle w:val="Normal"/>
              <w:widowControl/>
              <w:bidi w:val="0"/>
              <w:spacing w:before="0" w:after="200" w:line="276" w:lineRule="auto"/>
              <w:jc w:val="left"/>
              <w:rPr/>
            </w:pPr>
            <w:r>
              <w:rPr/>
              <w:t>SQ13. Modelo específico utilizado</w:t>
            </w:r>
          </w:p>
        </w:tc>
        <w:tc>
          <w:tcPr>
            <w:tcW w:w="2880" w:type="dxa"/>
            <w:tcBorders/>
            <w:tcMar/>
          </w:tcPr>
          <w:p w14:paraId="71F4DE54" wp14:textId="77777777">
            <w:pPr>
              <w:pStyle w:val="Normal"/>
              <w:widowControl/>
              <w:bidi w:val="0"/>
              <w:spacing w:before="0" w:after="200" w:line="276" w:lineRule="auto"/>
              <w:jc w:val="left"/>
              <w:rPr/>
            </w:pPr>
            <w:r>
              <w:rPr/>
              <w:t xml:space="preserve">☑ </w:t>
            </w:r>
            <w:r>
              <w:rPr/>
              <w:t>Stable Diffusion ☑ ControlNet (Canny / Depth Models)</w:t>
            </w:r>
          </w:p>
        </w:tc>
        <w:tc>
          <w:tcPr>
            <w:tcW w:w="2880" w:type="dxa"/>
            <w:tcBorders/>
            <w:tcMar/>
          </w:tcPr>
          <w:p w14:paraId="6CEA0229" wp14:textId="77777777">
            <w:pPr>
              <w:pStyle w:val="Normal"/>
              <w:widowControl/>
              <w:bidi w:val="0"/>
              <w:spacing w:before="0" w:after="200" w:line="276" w:lineRule="auto"/>
              <w:jc w:val="left"/>
              <w:rPr/>
            </w:pPr>
            <w:r>
              <w:rPr/>
              <w:t>We experimented with a combination of two ControlNet Units: The first ControlNet Unit consisted of a canny edge detection preprocessing step, followed by the Control_v11p_sd15_canny model; the second ControlNet Unit incorporated a depth_midas preprocessing phase.</w:t>
            </w:r>
          </w:p>
        </w:tc>
      </w:tr>
      <w:tr xmlns:wp14="http://schemas.microsoft.com/office/word/2010/wordml" w:rsidTr="3A76FE43" w14:paraId="28A09463" wp14:textId="77777777">
        <w:trPr/>
        <w:tc>
          <w:tcPr>
            <w:tcW w:w="2880" w:type="dxa"/>
            <w:tcBorders/>
            <w:tcMar/>
          </w:tcPr>
          <w:p w14:paraId="40D586D0" wp14:textId="77777777">
            <w:pPr>
              <w:pStyle w:val="Normal"/>
              <w:widowControl/>
              <w:bidi w:val="0"/>
              <w:spacing w:before="0" w:after="200" w:line="276" w:lineRule="auto"/>
              <w:jc w:val="left"/>
              <w:rPr/>
            </w:pPr>
            <w:r>
              <w:rPr/>
              <w:t>SQ14. Modelos / benchmarks para validação</w:t>
            </w:r>
          </w:p>
        </w:tc>
        <w:tc>
          <w:tcPr>
            <w:tcW w:w="2880" w:type="dxa"/>
            <w:tcBorders/>
            <w:tcMar/>
          </w:tcPr>
          <w:p w14:paraId="083767E5" wp14:textId="77777777">
            <w:pPr>
              <w:pStyle w:val="Normal"/>
              <w:widowControl/>
              <w:bidi w:val="0"/>
              <w:spacing w:before="0" w:after="200" w:line="276" w:lineRule="auto"/>
              <w:jc w:val="left"/>
              <w:rPr/>
            </w:pPr>
            <w:r>
              <w:rPr/>
              <w:t xml:space="preserve">☑ </w:t>
            </w:r>
            <w:r>
              <w:rPr/>
              <w:t>Proposição conceitual sem teste comparativo</w:t>
            </w:r>
          </w:p>
        </w:tc>
        <w:tc>
          <w:tcPr>
            <w:tcW w:w="2880" w:type="dxa"/>
            <w:tcBorders/>
            <w:tcMar/>
          </w:tcPr>
          <w:p w14:paraId="0D7CE4C1" wp14:textId="77777777">
            <w:pPr>
              <w:pStyle w:val="Normal"/>
              <w:widowControl/>
              <w:bidi w:val="0"/>
              <w:spacing w:before="0" w:after="200" w:line="276" w:lineRule="auto"/>
              <w:jc w:val="left"/>
              <w:rPr/>
            </w:pPr>
            <w:r>
              <w:rPr/>
              <w:t>Future research is proposed to involve comprehensive quantitative user studies among animation designers and audiences.</w:t>
            </w:r>
          </w:p>
        </w:tc>
      </w:tr>
      <w:tr xmlns:wp14="http://schemas.microsoft.com/office/word/2010/wordml" w:rsidTr="3A76FE43" w14:paraId="06000B98" wp14:textId="77777777">
        <w:trPr/>
        <w:tc>
          <w:tcPr>
            <w:tcW w:w="2880" w:type="dxa"/>
            <w:tcBorders/>
            <w:tcMar/>
          </w:tcPr>
          <w:p w14:paraId="1AF00B45" wp14:textId="77777777">
            <w:pPr>
              <w:pStyle w:val="Normal"/>
              <w:widowControl/>
              <w:bidi w:val="0"/>
              <w:spacing w:before="0" w:after="200" w:line="276" w:lineRule="auto"/>
              <w:jc w:val="left"/>
              <w:rPr/>
            </w:pPr>
            <w:r>
              <w:rPr/>
              <w:t>SQ15. Impacto potencial para a indústria audiovisual</w:t>
            </w:r>
          </w:p>
        </w:tc>
        <w:tc>
          <w:tcPr>
            <w:tcW w:w="2880" w:type="dxa"/>
            <w:tcBorders/>
            <w:tcMar/>
          </w:tcPr>
          <w:p w14:paraId="11B31E57" wp14:textId="77777777">
            <w:pPr>
              <w:pStyle w:val="Normal"/>
              <w:widowControl/>
              <w:bidi w:val="0"/>
              <w:spacing w:before="0" w:after="200" w:line="276" w:lineRule="auto"/>
              <w:jc w:val="left"/>
              <w:rPr/>
            </w:pPr>
            <w:r>
              <w:rPr/>
              <w:t xml:space="preserve">☑ </w:t>
            </w:r>
            <w:r>
              <w:rPr/>
              <w:t>Ampliação de métodos criativos em arte urbana digital</w:t>
            </w:r>
          </w:p>
        </w:tc>
        <w:tc>
          <w:tcPr>
            <w:tcW w:w="2880" w:type="dxa"/>
            <w:tcBorders/>
            <w:tcMar/>
          </w:tcPr>
          <w:p w14:paraId="4F7FC48A" wp14:textId="77777777">
            <w:pPr>
              <w:pStyle w:val="Normal"/>
              <w:widowControl/>
              <w:bidi w:val="0"/>
              <w:spacing w:before="0" w:after="200" w:line="276" w:lineRule="auto"/>
              <w:jc w:val="left"/>
              <w:rPr/>
            </w:pPr>
            <w:r>
              <w:rPr/>
              <w:t>This approach reshapes the conventional, human-centric process into a harmonious blend of human creativity, AI capabilities, and data insights.</w:t>
            </w:r>
          </w:p>
        </w:tc>
      </w:tr>
      <w:tr xmlns:wp14="http://schemas.microsoft.com/office/word/2010/wordml" w:rsidTr="3A76FE43" w14:paraId="4DD974D0" wp14:textId="77777777">
        <w:trPr/>
        <w:tc>
          <w:tcPr>
            <w:tcW w:w="2880" w:type="dxa"/>
            <w:tcBorders/>
            <w:tcMar/>
          </w:tcPr>
          <w:p w14:paraId="61F1AE34" wp14:textId="77777777">
            <w:pPr>
              <w:pStyle w:val="Normal"/>
              <w:widowControl/>
              <w:bidi w:val="0"/>
              <w:spacing w:before="0" w:after="200" w:line="276" w:lineRule="auto"/>
              <w:jc w:val="left"/>
              <w:rPr/>
            </w:pPr>
            <w:r>
              <w:rPr/>
              <w:t>SQ16. Desafios quanto à reprodutibilidade e confiabilidade</w:t>
            </w:r>
          </w:p>
        </w:tc>
        <w:tc>
          <w:tcPr>
            <w:tcW w:w="2880" w:type="dxa"/>
            <w:tcBorders/>
            <w:tcMar/>
          </w:tcPr>
          <w:p w14:paraId="6116F80E" wp14:textId="77777777">
            <w:pPr>
              <w:pStyle w:val="Normal"/>
              <w:widowControl/>
              <w:bidi w:val="0"/>
              <w:spacing w:before="0" w:after="200" w:line="276" w:lineRule="auto"/>
              <w:jc w:val="left"/>
              <w:rPr/>
            </w:pPr>
            <w:r>
              <w:rPr/>
              <w:t xml:space="preserve">☑ </w:t>
            </w:r>
            <w:r>
              <w:rPr/>
              <w:t>Ausência de avaliação empírica ☑ Dependência de dados urbanos</w:t>
            </w:r>
          </w:p>
        </w:tc>
        <w:tc>
          <w:tcPr>
            <w:tcW w:w="2880" w:type="dxa"/>
            <w:tcBorders/>
            <w:tcMar/>
          </w:tcPr>
          <w:p w14:paraId="0BAE7256" wp14:textId="77777777">
            <w:pPr>
              <w:pStyle w:val="Normal"/>
              <w:widowControl/>
              <w:bidi w:val="0"/>
              <w:spacing w:before="0" w:after="200" w:line="276" w:lineRule="auto"/>
              <w:jc w:val="left"/>
              <w:rPr/>
            </w:pPr>
            <w:r>
              <w:rPr/>
              <w:t>It is important to note that the efficacy of this approach is yet to be empirically verified.</w:t>
            </w:r>
          </w:p>
        </w:tc>
      </w:tr>
      <w:tr xmlns:wp14="http://schemas.microsoft.com/office/word/2010/wordml" w:rsidTr="3A76FE43" w14:paraId="3BEE286D" wp14:textId="77777777">
        <w:trPr/>
        <w:tc>
          <w:tcPr>
            <w:tcW w:w="2880" w:type="dxa"/>
            <w:tcBorders/>
            <w:tcMar/>
          </w:tcPr>
          <w:p w14:paraId="7443C967" wp14:textId="77777777">
            <w:pPr>
              <w:pStyle w:val="Normal"/>
              <w:widowControl/>
              <w:bidi w:val="0"/>
              <w:spacing w:before="0" w:after="200" w:line="276" w:lineRule="auto"/>
              <w:jc w:val="left"/>
              <w:rPr/>
            </w:pPr>
            <w:r>
              <w:rPr/>
              <w:t>SQ17. Intenção dos autores em tornar perceptível o uso da IAG</w:t>
            </w:r>
          </w:p>
        </w:tc>
        <w:tc>
          <w:tcPr>
            <w:tcW w:w="2880" w:type="dxa"/>
            <w:tcBorders/>
            <w:tcMar/>
          </w:tcPr>
          <w:p w14:paraId="35038E50" wp14:textId="77777777">
            <w:pPr>
              <w:pStyle w:val="Normal"/>
              <w:widowControl/>
              <w:bidi w:val="0"/>
              <w:spacing w:before="0" w:after="200" w:line="276" w:lineRule="auto"/>
              <w:jc w:val="left"/>
              <w:rPr/>
            </w:pPr>
            <w:r>
              <w:rPr/>
              <w:t xml:space="preserve">☑ </w:t>
            </w:r>
            <w:r>
              <w:rPr/>
              <w:t>Sim – a IA é explicitamente parte do processo criativo</w:t>
            </w:r>
          </w:p>
        </w:tc>
        <w:tc>
          <w:tcPr>
            <w:tcW w:w="2880" w:type="dxa"/>
            <w:tcBorders/>
            <w:tcMar/>
          </w:tcPr>
          <w:p w14:paraId="653B6757" wp14:textId="77777777">
            <w:pPr>
              <w:pStyle w:val="Normal"/>
              <w:widowControl/>
              <w:bidi w:val="0"/>
              <w:spacing w:before="0" w:after="200" w:line="276" w:lineRule="auto"/>
              <w:jc w:val="left"/>
              <w:rPr/>
            </w:pPr>
            <w:r>
              <w:rPr/>
              <w:t>We harness the capabilities of co-creative AI, specifically the AIGC tool, Stable Diffusion, to facilitate the conceptual design for projection mapping animation.</w:t>
            </w:r>
          </w:p>
        </w:tc>
      </w:tr>
    </w:tbl>
    <w:p xmlns:wp14="http://schemas.microsoft.com/office/word/2010/wordml" w14:paraId="672A6659" wp14:textId="77777777">
      <w:pPr>
        <w:pStyle w:val="Normal"/>
        <w:widowControl/>
        <w:bidi w:val="0"/>
        <w:spacing w:before="0" w:after="200" w:line="276" w:lineRule="auto"/>
        <w:jc w:val="left"/>
        <w:rPr/>
      </w:pPr>
      <w:r>
        <w:rPr/>
      </w:r>
    </w:p>
    <w:sectPr>
      <w:type w:val="nextPage"/>
      <w:pgSz w:w="12240" w:h="15840" w:orient="portrait"/>
      <w:pgMar w:top="1440" w:right="1800" w:bottom="1440" w:left="180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5d6102cb"/>
  </w:abstractNum>
  <w:abstractNum w:abstractNumId="2">
    <w:lvl w:ilvl="0">
      <w:start w:val="1"/>
      <w:numFmt w:val="bullet"/>
      <w:lvlText w:val=""/>
      <w:lvlJc w:val="left"/>
      <w:pPr>
        <w:tabs>
          <w:tab w:val="num" w:pos="720"/>
        </w:tabs>
        <w:ind w:left="72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58bb65ea"/>
  </w:abstractNum>
  <w:abstractNum w:abstractNumId="3">
    <w:lvl w:ilvl="0">
      <w:start w:val="1"/>
      <w:numFmt w:val="bullet"/>
      <w:lvlText w:val=""/>
      <w:lvlJc w:val="left"/>
      <w:pPr>
        <w:tabs>
          <w:tab w:val="num" w:pos="1080"/>
        </w:tabs>
        <w:ind w:left="108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a3d5557"/>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b6d4bb2"/>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3cedd21"/>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36c8bb08"/>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395e9594"/>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14:docId w14:val="2FE0406A"/>
  <w15:docId w15:val="{D4229B8A-7B27-4871-9A3E-817FD1BC5D2C}"/>
  <w:rsids>
    <w:rsidRoot w:val="3A76FE43"/>
    <w:rsid w:val="3A76FE43"/>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mbria" w:hAnsi="Cambria" w:eastAsia="ＭＳ 明朝" w:cs="" w:asciiTheme="minorHAnsi" w:hAnsiTheme="minorHAnsi" w:eastAsiaTheme="minorEastAsia" w:cstheme="minorBid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before="0" w:after="200" w:line="276" w:lineRule="auto"/>
      <w:jc w:val="left"/>
    </w:pPr>
    <w:rPr>
      <w:rFonts w:ascii="Cambria" w:hAnsi="Cambria" w:eastAsia="ＭＳ 明朝" w:cs="" w:asciiTheme="minorHAnsi" w:hAnsiTheme="minorHAnsi" w:eastAsiaTheme="minorEastAsia"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hAnsiTheme="majorHAnsi" w:eastAsiaTheme="majorEastAsia" w:cstheme="majorBid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hAnsiTheme="majorHAnsi" w:eastAsiaTheme="majorEastAsia" w:cstheme="majorBid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hAnsiTheme="majorHAnsi" w:eastAsiaTheme="majorEastAsia" w:cstheme="majorBid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hAnsiTheme="majorHAnsi" w:eastAsiaTheme="majorEastAsia" w:cstheme="majorBid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hAnsiTheme="majorHAnsi" w:eastAsiaTheme="majorEastAsia" w:cstheme="majorBid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hAnsiTheme="majorHAnsi" w:eastAsiaTheme="majorEastAsia" w:cstheme="majorBid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hAnsiTheme="majorHAnsi" w:eastAsiaTheme="majorEastAsia" w:cstheme="majorBid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hAnsiTheme="majorHAnsi" w:eastAsiaTheme="majorEastAsia"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leader="none" w:pos="4680"/>
        <w:tab w:val="right" w:leader="none" w:pos="9360"/>
      </w:tabs>
      <w:spacing w:before="0" w:after="0" w:line="240" w:lineRule="auto"/>
    </w:pPr>
    <w:rPr/>
  </w:style>
  <w:style w:type="paragraph" w:styleId="Footer">
    <w:name w:val="footer"/>
    <w:basedOn w:val="Normal"/>
    <w:link w:val="FooterChar"/>
    <w:uiPriority w:val="99"/>
    <w:unhideWhenUsed/>
    <w:rsid w:val="00e618bf"/>
    <w:pPr>
      <w:tabs>
        <w:tab w:val="clear" w:pos="720"/>
        <w:tab w:val="center" w:leader="none" w:pos="4680"/>
        <w:tab w:val="right" w:leader="none" w:pos="9360"/>
      </w:tabs>
      <w:spacing w:before="0" w:after="0" w:line="240" w:lineRule="auto"/>
    </w:pPr>
    <w:rPr/>
  </w:style>
  <w:style w:type="paragraph" w:styleId="NoSpacing">
    <w:name w:val="No Spacing"/>
    <w:uiPriority w:val="1"/>
    <w:qFormat/>
    <w:rsid w:val="00fc693f"/>
    <w:pPr>
      <w:widowControl/>
      <w:bidi w:val="0"/>
      <w:spacing w:before="0" w:after="0" w:line="240" w:lineRule="auto"/>
      <w:jc w:val="left"/>
    </w:pPr>
    <w:rPr>
      <w:rFonts w:ascii="Cambria" w:hAnsi="Cambria" w:eastAsia="ＭＳ 明朝" w:cs="" w:asciiTheme="minorHAnsi" w:hAnsiTheme="minorHAnsi" w:eastAsiaTheme="minorEastAsia" w:cstheme="minorBid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color="4F81BD" w:themeColor="accent1" w:sz="8" w:space="4"/>
      </w:pBdr>
      <w:spacing w:before="0" w:after="300" w:line="240" w:lineRule="auto"/>
      <w:contextualSpacing/>
    </w:pPr>
    <w:rPr>
      <w:rFonts w:ascii="Calibri" w:hAnsi="Calibri" w:eastAsia="ＭＳ ゴシック" w:cs="" w:asciiTheme="majorHAnsi" w:hAnsiTheme="majorHAnsi" w:eastAsiaTheme="majorEastAsia"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before="0" w:after="120" w:line="480" w:lineRule="auto"/>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left="720" w:hanging="360"/>
      <w:contextualSpacing/>
    </w:pPr>
    <w:rPr/>
  </w:style>
  <w:style w:type="paragraph" w:styleId="List3">
    <w:name w:val="List 3"/>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before="0" w:after="200" w:line="276" w:lineRule="auto"/>
      <w:jc w:val="left"/>
    </w:pPr>
    <w:rPr>
      <w:rFonts w:ascii="Courier" w:hAnsi="Courier" w:eastAsia="ＭＳ 明朝" w:cs="" w:eastAsiaTheme="minorEastAsia" w:cstheme="minorBidi"/>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Semlista" w:default="1">
    <w:name w:val="Sem lista"/>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ntTable" Target="fontTable.xml" Id="rId3" /><Relationship Type="http://schemas.openxmlformats.org/officeDocument/2006/relationships/settings" Target="settings.xml" Id="rId4" /><Relationship Type="http://schemas.openxmlformats.org/officeDocument/2006/relationships/theme" Target="theme/theme1.xml" Id="rId5" /><Relationship Type="http://schemas.openxmlformats.org/officeDocument/2006/relationships/customXml" Target="../customXml/item1.xml" Id="rId6"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dc:language>pt-BR</dc:language>
  <lastModifiedBy>Guilherme Roth</lastModifiedBy>
  <dcterms:modified xsi:type="dcterms:W3CDTF">2025-11-26T15:45:20.2743944Z</dcterms:modified>
  <revision>3</revision>
  <dc:subject/>
  <dc:title/>
</coreProperties>
</file>

<file path=docProps/custom.xml><?xml version="1.0" encoding="utf-8"?>
<Properties xmlns="http://schemas.openxmlformats.org/officeDocument/2006/custom-properties" xmlns:vt="http://schemas.openxmlformats.org/officeDocument/2006/docPropsVTypes"/>
</file>