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Formulário de Extração de Artigos</w:t>
      </w:r>
    </w:p>
    <w:p>
      <w:r>
        <w:t>ID em Porifera: 162</w:t>
      </w:r>
    </w:p>
    <w:p>
      <w:r>
        <w:t>Autor e Ano: Rui Liu, Yifan Hu, Yi Ren, Xiang Yin, Haizhou Li (2024)</w:t>
      </w:r>
    </w:p>
    <w:p>
      <w:r>
        <w:t>DOI: 10.1145/3664647.3681697</w:t>
      </w:r>
    </w:p>
    <w:p>
      <w:r>
        <w:t>Local de Publicação: ACM Multimedia 2024</w:t>
      </w:r>
    </w:p>
    <w:p>
      <w:pPr>
        <w:pStyle w:val="Heading2"/>
      </w:pPr>
      <w:r>
        <w:t>Resumo do Artigo:</w:t>
      </w:r>
    </w:p>
    <w:p>
      <w:r>
        <w:t>O artigo apresenta o GPT-Talker, um sistema para síntese de fala conversacional expressiva, com experimentos subjetivos e objetivos demonstrando seu desempenho superior.</w:t>
      </w:r>
    </w:p>
    <w:p>
      <w:pPr>
        <w:pStyle w:val="Heading2"/>
      </w:pPr>
      <w:r>
        <w:t>Tecnologias de IAG Usadas:</w:t>
      </w:r>
    </w:p>
    <w:p>
      <w:r>
        <w:t>• GPT — “Leveraging the power of GPT”</w:t>
        <w:br/>
        <w:t>• VITS — “the expressive conversational speech is synthesized by the conversation-enriched VITS”</w:t>
        <w:br/>
        <w:t>• HiFi-GAN — “The HiFi-GAN generator captured more detailed speaker information...”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Subquestão</w:t>
            </w:r>
          </w:p>
        </w:tc>
        <w:tc>
          <w:tcPr>
            <w:tcW w:type="dxa" w:w="2880"/>
          </w:tcPr>
          <w:p>
            <w:r>
              <w:t>Resposta / Tradução PT-BR</w:t>
            </w:r>
          </w:p>
        </w:tc>
        <w:tc>
          <w:tcPr>
            <w:tcW w:type="dxa" w:w="2880"/>
          </w:tcPr>
          <w:p>
            <w:r>
              <w:t>Trecho literal do artigo (inglês)</w:t>
            </w:r>
          </w:p>
        </w:tc>
      </w:tr>
      <w:tr>
        <w:tc>
          <w:tcPr>
            <w:tcW w:type="dxa" w:w="2880"/>
          </w:tcPr>
          <w:p>
            <w:r>
              <w:t>SQ1. Qual o tipo de contribuição do artigo?</w:t>
            </w:r>
          </w:p>
        </w:tc>
        <w:tc>
          <w:tcPr>
            <w:tcW w:type="dxa" w:w="2880"/>
          </w:tcPr>
          <w:p>
            <w:r>
              <w:t>Pesquisa de Validação</w:t>
            </w:r>
          </w:p>
        </w:tc>
        <w:tc>
          <w:tcPr>
            <w:tcW w:type="dxa" w:w="2880"/>
          </w:tcPr>
          <w:p>
            <w:r>
              <w:t>“We conducted comprehensive experiments from both subjective and objective perspectives to evaluate the quality of the synthesized speech.”</w:t>
            </w:r>
          </w:p>
        </w:tc>
      </w:tr>
      <w:tr>
        <w:tc>
          <w:tcPr>
            <w:tcW w:type="dxa" w:w="2880"/>
          </w:tcPr>
          <w:p>
            <w:r>
              <w:t>SQ2. Em qual área o estudo se insere?</w:t>
            </w:r>
          </w:p>
        </w:tc>
        <w:tc>
          <w:tcPr>
            <w:tcW w:type="dxa" w:w="2880"/>
          </w:tcPr>
          <w:p>
            <w:r>
              <w:t>Inteligência Artificial</w:t>
            </w:r>
          </w:p>
        </w:tc>
        <w:tc>
          <w:tcPr>
            <w:tcW w:type="dxa" w:w="2880"/>
          </w:tcPr>
          <w:p>
            <w:r>
              <w:t>“Conversational Speech Synthesis (CSS) aims at generating expressive conversational speech…”</w:t>
            </w:r>
          </w:p>
        </w:tc>
      </w:tr>
      <w:tr>
        <w:tc>
          <w:tcPr>
            <w:tcW w:type="dxa" w:w="2880"/>
          </w:tcPr>
          <w:p>
            <w:r>
              <w:t>SQ3. Foco principal da aplicação da IAG</w:t>
            </w:r>
          </w:p>
        </w:tc>
        <w:tc>
          <w:tcPr>
            <w:tcW w:type="dxa" w:w="2880"/>
          </w:tcPr>
          <w:p>
            <w:r>
              <w:t>Síntese de fala conversacional</w:t>
            </w:r>
          </w:p>
        </w:tc>
        <w:tc>
          <w:tcPr>
            <w:tcW w:type="dxa" w:w="2880"/>
          </w:tcPr>
          <w:p>
            <w:r>
              <w:t>“the expressive conversational speech is synthesized by the conversation-enriched VITS”</w:t>
            </w:r>
          </w:p>
        </w:tc>
      </w:tr>
      <w:tr>
        <w:tc>
          <w:tcPr>
            <w:tcW w:type="dxa" w:w="2880"/>
          </w:tcPr>
          <w:p>
            <w:r>
              <w:t>SQ4. Tecnologia de IAG empregada</w:t>
            </w:r>
          </w:p>
        </w:tc>
        <w:tc>
          <w:tcPr>
            <w:tcW w:type="dxa" w:w="2880"/>
          </w:tcPr>
          <w:p>
            <w:r>
              <w:t>Transformers (GPT)</w:t>
            </w:r>
          </w:p>
        </w:tc>
        <w:tc>
          <w:tcPr>
            <w:tcW w:type="dxa" w:w="2880"/>
          </w:tcPr>
          <w:p>
            <w:r>
              <w:t>“Leveraging the power of GPT”</w:t>
            </w:r>
          </w:p>
        </w:tc>
      </w:tr>
      <w:tr>
        <w:tc>
          <w:tcPr>
            <w:tcW w:type="dxa" w:w="2880"/>
          </w:tcPr>
          <w:p>
            <w:r>
              <w:t>SQ4.1. Critérios/Métricas de qualidade</w:t>
            </w:r>
          </w:p>
        </w:tc>
        <w:tc>
          <w:tcPr>
            <w:tcW w:type="dxa" w:w="2880"/>
          </w:tcPr>
          <w:p>
            <w:r>
              <w:t>Métricas subjetivas e objetivas (N-DMOS, E-DMOS, DTW-D, SSIM)</w:t>
            </w:r>
          </w:p>
        </w:tc>
        <w:tc>
          <w:tcPr>
            <w:tcW w:type="dxa" w:w="2880"/>
          </w:tcPr>
          <w:p>
            <w:r>
              <w:t>“subjective metrics, including N-DMOS and E-DMOS... objective metrics including DTW-D and SSIM.”</w:t>
            </w:r>
          </w:p>
        </w:tc>
      </w:tr>
      <w:tr>
        <w:tc>
          <w:tcPr>
            <w:tcW w:type="dxa" w:w="2880"/>
          </w:tcPr>
          <w:p>
            <w:r>
              <w:t>SQ4.2. Conclusão dos avaliadores</w:t>
            </w:r>
          </w:p>
        </w:tc>
        <w:tc>
          <w:tcPr>
            <w:tcW w:type="dxa" w:w="2880"/>
          </w:tcPr>
          <w:p>
            <w:r>
              <w:t>Os avaliadores concluíram que o modelo supera outros sistemas em naturalidade e expressividade.</w:t>
            </w:r>
          </w:p>
        </w:tc>
        <w:tc>
          <w:tcPr>
            <w:tcW w:type="dxa" w:w="2880"/>
          </w:tcPr>
          <w:p>
            <w:r>
              <w:t>“Our model outperforms other state-of-the-art CSS systems significantly in terms of naturalness and expressiveness.”</w:t>
            </w:r>
          </w:p>
        </w:tc>
      </w:tr>
      <w:tr>
        <w:tc>
          <w:tcPr>
            <w:tcW w:type="dxa" w:w="2880"/>
          </w:tcPr>
          <w:p>
            <w:r>
              <w:t>SQ5. A ferramenta de IAG foi utilizada como</w:t>
            </w:r>
          </w:p>
        </w:tc>
        <w:tc>
          <w:tcPr>
            <w:tcW w:type="dxa" w:w="2880"/>
          </w:tcPr>
          <w:p>
            <w:r>
              <w:t>Desenvolvimento próprio/extensivo</w:t>
            </w:r>
          </w:p>
        </w:tc>
        <w:tc>
          <w:tcPr>
            <w:tcW w:type="dxa" w:w="2880"/>
          </w:tcPr>
          <w:p>
            <w:r>
              <w:t>“we propose a novel generative expressive CSS system, termed GPT-Talker.”</w:t>
            </w:r>
          </w:p>
        </w:tc>
      </w:tr>
      <w:tr>
        <w:tc>
          <w:tcPr>
            <w:tcW w:type="dxa" w:w="2880"/>
          </w:tcPr>
          <w:p>
            <w:r>
              <w:t>SQ6. Desafios técnicos identificados</w:t>
            </w:r>
          </w:p>
        </w:tc>
        <w:tc>
          <w:tcPr>
            <w:tcW w:type="dxa" w:w="2880"/>
          </w:tcPr>
          <w:p>
            <w:r>
              <w:t>Limitações de datasets</w:t>
            </w:r>
          </w:p>
        </w:tc>
        <w:tc>
          <w:tcPr>
            <w:tcW w:type="dxa" w:w="2880"/>
          </w:tcPr>
          <w:p>
            <w:r>
              <w:t>“limitations of small-scale datasets may lead to poor prediction of prosodic context tokens.”</w:t>
            </w:r>
          </w:p>
        </w:tc>
      </w:tr>
      <w:tr>
        <w:tc>
          <w:tcPr>
            <w:tcW w:type="dxa" w:w="2880"/>
          </w:tcPr>
          <w:p>
            <w:r>
              <w:t>SQ7. Desafios éticos e criativos</w:t>
            </w:r>
          </w:p>
        </w:tc>
        <w:tc>
          <w:tcPr>
            <w:tcW w:type="dxa" w:w="2880"/>
          </w:tcPr>
          <w:p>
            <w:r>
              <w:t>NÃO INFORMADO NO ARTIGO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SQ8. O estudo apresenta análises empíricas?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“We conducted comprehensive experiments…”</w:t>
            </w:r>
          </w:p>
        </w:tc>
      </w:tr>
      <w:tr>
        <w:tc>
          <w:tcPr>
            <w:tcW w:type="dxa" w:w="2880"/>
          </w:tcPr>
          <w:p>
            <w:r>
              <w:t>SQ8.1. Método empírico adotado</w:t>
            </w:r>
          </w:p>
        </w:tc>
        <w:tc>
          <w:tcPr>
            <w:tcW w:type="dxa" w:w="2880"/>
          </w:tcPr>
          <w:p>
            <w:r>
              <w:t>Experimentos controlados</w:t>
            </w:r>
          </w:p>
        </w:tc>
        <w:tc>
          <w:tcPr>
            <w:tcW w:type="dxa" w:w="2880"/>
          </w:tcPr>
          <w:p>
            <w:r>
              <w:t>“subjective and objective evaluations”</w:t>
            </w:r>
          </w:p>
        </w:tc>
      </w:tr>
      <w:tr>
        <w:tc>
          <w:tcPr>
            <w:tcW w:type="dxa" w:w="2880"/>
          </w:tcPr>
          <w:p>
            <w:r>
              <w:t>SQ8.2. Nº de participantes</w:t>
            </w:r>
          </w:p>
        </w:tc>
        <w:tc>
          <w:tcPr>
            <w:tcW w:type="dxa" w:w="2880"/>
          </w:tcPr>
          <w:p>
            <w:r>
              <w:t>NÃO INFORMADO NO ARTIGO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SQ9. Finalidade principal da IAG</w:t>
            </w:r>
          </w:p>
        </w:tc>
        <w:tc>
          <w:tcPr>
            <w:tcW w:type="dxa" w:w="2880"/>
          </w:tcPr>
          <w:p>
            <w:r>
              <w:t>Síntese de fala</w:t>
            </w:r>
          </w:p>
        </w:tc>
        <w:tc>
          <w:tcPr>
            <w:tcW w:type="dxa" w:w="2880"/>
          </w:tcPr>
          <w:p>
            <w:r>
              <w:t>“generate expressive conversational speech”</w:t>
            </w:r>
          </w:p>
        </w:tc>
      </w:tr>
      <w:tr>
        <w:tc>
          <w:tcPr>
            <w:tcW w:type="dxa" w:w="2880"/>
          </w:tcPr>
          <w:p>
            <w:r>
              <w:t>SQ10. Tipos de conteúdo gerado</w:t>
            </w:r>
          </w:p>
        </w:tc>
        <w:tc>
          <w:tcPr>
            <w:tcW w:type="dxa" w:w="2880"/>
          </w:tcPr>
          <w:p>
            <w:r>
              <w:t>Áudio (fala)</w:t>
            </w:r>
          </w:p>
        </w:tc>
        <w:tc>
          <w:tcPr>
            <w:tcW w:type="dxa" w:w="2880"/>
          </w:tcPr>
          <w:p>
            <w:r>
              <w:t>“speech is synthesized”</w:t>
            </w:r>
          </w:p>
        </w:tc>
      </w:tr>
      <w:tr>
        <w:tc>
          <w:tcPr>
            <w:tcW w:type="dxa" w:w="2880"/>
          </w:tcPr>
          <w:p>
            <w:r>
              <w:t>SQ11. Tipo de dispositivo</w:t>
            </w:r>
          </w:p>
        </w:tc>
        <w:tc>
          <w:tcPr>
            <w:tcW w:type="dxa" w:w="2880"/>
          </w:tcPr>
          <w:p>
            <w:r>
              <w:t>NÃO INFORMADO NO ARTIGO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SQ12. Tipo de interação com IAG</w:t>
            </w:r>
          </w:p>
        </w:tc>
        <w:tc>
          <w:tcPr>
            <w:tcW w:type="dxa" w:w="2880"/>
          </w:tcPr>
          <w:p>
            <w:r>
              <w:t>NÃO INFORMADO NO ARTIGO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SQ13. Modelo específico utilizado</w:t>
            </w:r>
          </w:p>
        </w:tc>
        <w:tc>
          <w:tcPr>
            <w:tcW w:type="dxa" w:w="2880"/>
          </w:tcPr>
          <w:p>
            <w:r>
              <w:t>GPT</w:t>
            </w:r>
          </w:p>
        </w:tc>
        <w:tc>
          <w:tcPr>
            <w:tcW w:type="dxa" w:w="2880"/>
          </w:tcPr>
          <w:p>
            <w:r>
              <w:t>“Leveraging the power of GPT”</w:t>
            </w:r>
          </w:p>
        </w:tc>
      </w:tr>
      <w:tr>
        <w:tc>
          <w:tcPr>
            <w:tcW w:type="dxa" w:w="2880"/>
          </w:tcPr>
          <w:p>
            <w:r>
              <w:t>SQ14. Modelos/benchmarks de validação</w:t>
            </w:r>
          </w:p>
        </w:tc>
        <w:tc>
          <w:tcPr>
            <w:tcW w:type="dxa" w:w="2880"/>
          </w:tcPr>
          <w:p>
            <w:r>
              <w:t>Métricas subjetivas e objetivas</w:t>
            </w:r>
          </w:p>
        </w:tc>
        <w:tc>
          <w:tcPr>
            <w:tcW w:type="dxa" w:w="2880"/>
          </w:tcPr>
          <w:p>
            <w:r>
              <w:t>“subjective and objective evaluations”</w:t>
            </w:r>
          </w:p>
        </w:tc>
      </w:tr>
      <w:tr>
        <w:tc>
          <w:tcPr>
            <w:tcW w:type="dxa" w:w="2880"/>
          </w:tcPr>
          <w:p>
            <w:r>
              <w:t>SQ15. Impacto potencial para a indústria</w:t>
            </w:r>
          </w:p>
        </w:tc>
        <w:tc>
          <w:tcPr>
            <w:tcW w:type="dxa" w:w="2880"/>
          </w:tcPr>
          <w:p>
            <w:r>
              <w:t>NÃO INFORMADO NO ARTIGO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SQ16. Desafios quanto à reprodutibilidade</w:t>
            </w:r>
          </w:p>
        </w:tc>
        <w:tc>
          <w:tcPr>
            <w:tcW w:type="dxa" w:w="2880"/>
          </w:tcPr>
          <w:p>
            <w:r>
              <w:t>Dependência de dados e variabilidade</w:t>
            </w:r>
          </w:p>
        </w:tc>
        <w:tc>
          <w:tcPr>
            <w:tcW w:type="dxa" w:w="2880"/>
          </w:tcPr>
          <w:p>
            <w:r>
              <w:t>“limitations of small-scale datasets may lead to poor prediction…”</w:t>
            </w:r>
          </w:p>
        </w:tc>
      </w:tr>
      <w:tr>
        <w:tc>
          <w:tcPr>
            <w:tcW w:type="dxa" w:w="2880"/>
          </w:tcPr>
          <w:p>
            <w:r>
              <w:t>SQ17. A intenção era tornar perceptível o uso da IAG?</w:t>
            </w:r>
          </w:p>
        </w:tc>
        <w:tc>
          <w:tcPr>
            <w:tcW w:type="dxa" w:w="2880"/>
          </w:tcPr>
          <w:p>
            <w:r>
              <w:t>NÃO INFORMADO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