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22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10"/>
        <w:gridCol w:w="7010"/>
      </w:tblGrid>
      <w:tr>
        <w:trPr>
          <w:trHeight w:val="500" w:hRule="atLeast"/>
        </w:trPr>
        <w:tc>
          <w:tcPr>
            <w:tcW w:w="22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0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195</w:t>
            </w:r>
          </w:p>
        </w:tc>
      </w:tr>
      <w:tr>
        <w:trPr>
          <w:trHeight w:val="500" w:hRule="atLeast"/>
        </w:trPr>
        <w:tc>
          <w:tcPr>
            <w:tcW w:w="22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0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M. Izani; Dalia; A. Razak; M. Faiz; A. Kaleel; A. Assad - 2024</w:t>
            </w:r>
          </w:p>
        </w:tc>
      </w:tr>
      <w:tr>
        <w:trPr>
          <w:trHeight w:val="500" w:hRule="atLeast"/>
        </w:trPr>
        <w:tc>
          <w:tcPr>
            <w:tcW w:w="22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70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10.1109/ISIEA61920.2024.10607282</w:t>
            </w:r>
          </w:p>
        </w:tc>
      </w:tr>
      <w:tr>
        <w:trPr>
          <w:trHeight w:val="770" w:hRule="atLeast"/>
        </w:trPr>
        <w:tc>
          <w:tcPr>
            <w:tcW w:w="22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70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2024 IEEE Symposium on Industrial Electronics &amp; Applications (ISIEA)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b/>
          <w:bCs/>
        </w:rPr>
        <w:t>Resumo</w:t>
        <w:br/>
      </w:r>
      <w:r>
        <w:rPr/>
        <w:t>Estudo que analisa a integração de ferramentas de IA no pipeline de renderização e produção de animação, usando o método de Mick Mahler como estudo de caso; propõe um framework para harmonizar controle do animador e automação por IA, combina análise qualitativa do workflow, comparação quantitativa com métodos tradicionais e aplicação experimental do framework em projetos de animação.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Tecnologias mencionadas</w:t>
        <w:br/>
      </w:r>
      <w:r>
        <w:rPr/>
        <w:t>Blender; Stable Diffusion; Midjourney; ChatGPT; PlayHT; Adobe Podcast; Adobe After Effects; Comi (node-based interface); técnicas de depth map / 3D depth map; render passes (depth, line art).</w:t>
      </w:r>
    </w:p>
    <w:tbl>
      <w:tblPr>
        <w:tblStyle w:val="Table2"/>
        <w:tblW w:w="93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39"/>
        <w:gridCol w:w="3501"/>
        <w:gridCol w:w="3050"/>
      </w:tblGrid>
      <w:tr>
        <w:trPr>
          <w:trHeight w:val="77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Opções / Resposta (coluna do meio)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>
        <w:trPr>
          <w:trHeight w:val="185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SQ1. Qual o tipo de contribuição do artigo?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Proposta de </w:t>
            </w:r>
            <w:r>
              <w:rPr>
                <w:b/>
                <w:bCs/>
              </w:rPr>
              <w:t>solução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"It proposes a novel framework for incorporating AI in animation workflows, emphasizing enhancement of the animator's creative agency."</w:t>
            </w:r>
          </w:p>
        </w:tc>
      </w:tr>
      <w:tr>
        <w:trPr>
          <w:trHeight w:val="131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SQ2. Em qual área do conhecimento o estudo se insere?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Animação digital; Mídia e entretenimento; Computação gráfica aplicada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research ... to explore the seamless integration of AI into the animator's creative process"</w:t>
            </w:r>
          </w:p>
        </w:tc>
      </w:tr>
      <w:tr>
        <w:trPr>
          <w:trHeight w:val="131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SQ3. Qual o foco principal da aplicação da IAG no estudo?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Renderização assistida por IA; pipeline de produção de animação; preservação do controle criativo do animador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balance of creative expression and automated efficiency in producing high-quality animations"</w:t>
            </w:r>
          </w:p>
        </w:tc>
      </w:tr>
      <w:tr>
        <w:trPr>
          <w:trHeight w:val="158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 Qual tecnologia de IAG foi empregada?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Blender; Stable Diffusion; Midjourney; ChatGPT; PlayHT; Adobe Podcast; Comi; After Effects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"Blender ... Stable Diffusion ... Midjourney ... ChatGPT ... PlayHT ... Adobe Podcast ... Import into Comi: Node-based Interface"</w:t>
            </w:r>
          </w:p>
        </w:tc>
      </w:tr>
      <w:tr>
        <w:trPr>
          <w:trHeight w:val="185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SQ4.1. Quais critérios/métricas de qualidade foram utilizados? (QUALITATIVA)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Comparação qualitativa e quantitativa com métodos tradicionais; medidas de velocidade, consistência e fidelidade artística (não padronizadas)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"a quantitative comparison to traditional methods, and experimental application of the proposed framework in animation projects."</w:t>
            </w:r>
          </w:p>
        </w:tc>
      </w:tr>
      <w:tr>
        <w:trPr>
          <w:trHeight w:val="158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SQ4.2. O que os avaliadores concluíram sobre o conteúdo gerado? (QUALITATIVA)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IA aumenta eficiência e consistência; mantém possibilidades criativas quando integrada com controle do animador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"AI tools offer enhanced efficiency and consistency across frames" / "enhancement of the animator's creative agency"</w:t>
            </w:r>
          </w:p>
        </w:tc>
      </w:tr>
      <w:tr>
        <w:trPr>
          <w:trHeight w:val="158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SQ5. A ferramenta de IAG foi utilizada como?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Conjunto de ferramentas e pipeline integradas pelos autores; uso de ferramentas comerciais e open-source no workflow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"AI such as ChatGPT is used for copywriting ... Midjourney to create visual elements ... Stable Diffusion for enhanced detail"</w:t>
            </w:r>
          </w:p>
        </w:tc>
      </w:tr>
      <w:tr>
        <w:trPr>
          <w:trHeight w:val="185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SQ6. Quais desafios técnicos foram identificados?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Requisitos computacionais; curva de aprendizado; necessidade de passes de render; integração de ferramentas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"computational demands and the required skill set for effective utilization" / "ensuring artistic intent is accurately translated by AI algorithms"</w:t>
            </w:r>
          </w:p>
        </w:tc>
      </w:tr>
      <w:tr>
        <w:trPr>
          <w:trHeight w:val="158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SQ7. Quais desafios éticos e criativos foram apontados?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Risco de perda de controle artístico; dependência excessiva; necessidade de preservar autoria e intenção criativa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"demands a delicate equilibrium between the creative independence of the animator and the algorithmic accuracy of AI"</w:t>
            </w:r>
          </w:p>
        </w:tc>
      </w:tr>
      <w:tr>
        <w:trPr>
          <w:trHeight w:val="212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 O estudo apresenta análises empíricas?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Sim - análise qualitativa do caso Mahler; comparação quantitativa e aplicação experimental do framework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methodology includes a qualitative analysis of animations rendered with AI, a quantitative comparison to traditional methods, and experimental application of the proposed framework"</w:t>
            </w:r>
          </w:p>
        </w:tc>
      </w:tr>
      <w:tr>
        <w:trPr>
          <w:trHeight w:val="185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SQ8.1. Se sim, qual método empírico foi adotado?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Análise de transcritos e workflows; experimentos de renderização e comparação com métodos tradicionais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methodology allows for a comprehensive understanding of the AI-driven animation process as demonstrated in the transcript"</w:t>
            </w:r>
          </w:p>
        </w:tc>
      </w:tr>
      <w:tr>
        <w:trPr>
          <w:trHeight w:val="104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SQ8.2. Quantas pessoas participaram do estudo?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informado / não aplicável (estudo centrado em caso de uso e experimentos técnicos)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>
        <w:trPr>
          <w:trHeight w:val="104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SQ9. Finalidade principal da IAG no estudo?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Acelerar renderização; permitir variação estilística; preservar agência criativa do animador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"explore the seamless integration of AI into the animator's creative process"</w:t>
            </w:r>
          </w:p>
        </w:tc>
      </w:tr>
      <w:tr>
        <w:trPr>
          <w:trHeight w:val="131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SQ10. Que tipos de conteúdos foram gerados?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Imagens renderizadas; cenas 3D geradas a partir de depth maps; composições finais para animação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"These images ... are then processed to create a 3D depth map ... 3D geometry ... editing and compositing"</w:t>
            </w:r>
          </w:p>
        </w:tc>
      </w:tr>
      <w:tr>
        <w:trPr>
          <w:trHeight w:val="131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SQ11. Tipo de dispositivo/tecnologia usada pelo usuário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Workstations com GPU; ferramentas desktop e serviços locais (Blender, Stable Diffusion, After Effects)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"requires more powerful hardware for optimal performance"</w:t>
            </w:r>
          </w:p>
        </w:tc>
      </w:tr>
      <w:tr>
        <w:trPr>
          <w:trHeight w:val="185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SQ12. Tipo de interação com a IAG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Fluxo híbrido: prompts textuais (ChatGPT/Midjourney), geração de imagens, depth maps, import para nodes (Comi) e render por Stable Diffusion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"Copywriting ChatGPT; Image generation Midjourney; Import into Comi: Node-based Interface; AI-Driven Rendering with Stable Diffusion"</w:t>
            </w:r>
          </w:p>
        </w:tc>
      </w:tr>
      <w:tr>
        <w:trPr>
          <w:trHeight w:val="131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SQ13. Modelo específico utilizado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Stable Diffusion (via pipeline descrito); Midjourney; ferramentas de TTS (PlayHT); pipeline em Blender/Comi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"High Resolution Depth Maps for Stable Diffusion WebUI" / "Midjourney for image generation"</w:t>
            </w:r>
          </w:p>
        </w:tc>
      </w:tr>
      <w:tr>
        <w:trPr>
          <w:trHeight w:val="185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SQ14. Modelos/benchmarks para validação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Comparação com métodos tradicionais em métricas de velocidade, consistência e qualidade percebida (sem benchmarks numéricos padronizados)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"a quantitative comparison to traditional methods"</w:t>
            </w:r>
          </w:p>
        </w:tc>
      </w:tr>
      <w:tr>
        <w:trPr>
          <w:trHeight w:val="131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SQ15. Impacto potencial para a indústria audiovisual (QUALITATIVA)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Redução de tempo de produção; novas possibilidades estilísticas; necessidade de requalificação profissional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"AI significantly reduces the time required for rendering, accelerating the production cycle"</w:t>
            </w:r>
          </w:p>
        </w:tc>
      </w:tr>
      <w:tr>
        <w:trPr>
          <w:trHeight w:val="158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SQ16. Desafios quanto à reprodutibilidade e confiabilidade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Variabilidade entre ferramentas; dependência de hardware; necessidade de ajustes finos e supervisão humana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"May involve pre-trained models ... requiring customization and fine-tuning for specific animation needs"</w:t>
            </w:r>
          </w:p>
        </w:tc>
      </w:tr>
      <w:tr>
        <w:trPr>
          <w:trHeight w:val="1310" w:hRule="atLeast"/>
        </w:trPr>
        <w:tc>
          <w:tcPr>
            <w:tcW w:w="283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SQ17. A intenção dos autores era tornar perceptível o uso da IAG?</w:t>
            </w:r>
          </w:p>
        </w:tc>
        <w:tc>
          <w:tcPr>
            <w:tcW w:w="35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declarado explicitamente; foco em integrar IA sem necessariamente evidenciar sua presença estética</w:t>
            </w:r>
          </w:p>
        </w:tc>
        <w:tc>
          <w:tcPr>
            <w:tcW w:w="30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4</Pages>
  <Words>862</Words>
  <Characters>5466</Characters>
  <CharactersWithSpaces>6252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2025-11-27T17:35:54Z</dcterms:modified>
  <cp:revision>1</cp:revision>
  <dc:subject/>
  <dc:title/>
</cp:coreProperties>
</file>