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806F9E" w:rsidRDefault="00806F9E" w14:paraId="672A6659" wp14:textId="77777777">
      <w:pPr>
        <w:spacing w:before="240" w:after="240"/>
        <w:rPr>
          <w:b/>
          <w:bCs/>
        </w:rPr>
      </w:pPr>
    </w:p>
    <w:tbl>
      <w:tblPr>
        <w:tblStyle w:val="a"/>
        <w:tblW w:w="922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190"/>
      </w:tblGrid>
      <w:tr xmlns:wp14="http://schemas.microsoft.com/office/word/2010/wordml" w:rsidR="00806F9E" w14:paraId="2EED3D1F" wp14:textId="77777777">
        <w:trPr>
          <w:trHeight w:val="500"/>
        </w:trPr>
        <w:tc>
          <w:tcPr>
            <w:tcW w:w="20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C17BDAF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em Porifera</w:t>
            </w:r>
          </w:p>
        </w:tc>
        <w:tc>
          <w:tcPr>
            <w:tcW w:w="71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6A632B1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203</w:t>
            </w:r>
          </w:p>
        </w:tc>
      </w:tr>
      <w:tr xmlns:wp14="http://schemas.microsoft.com/office/word/2010/wordml" w:rsidR="00806F9E" w14:paraId="14F98C53" wp14:textId="77777777">
        <w:trPr>
          <w:trHeight w:val="500"/>
        </w:trPr>
        <w:tc>
          <w:tcPr>
            <w:tcW w:w="20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198766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Autor e Ano</w:t>
            </w:r>
          </w:p>
        </w:tc>
        <w:tc>
          <w:tcPr>
            <w:tcW w:w="71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01B182D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Yeming Li; Junrong Song; David Keiman Yip - 2024</w:t>
            </w:r>
          </w:p>
        </w:tc>
      </w:tr>
      <w:tr xmlns:wp14="http://schemas.microsoft.com/office/word/2010/wordml" w:rsidR="00806F9E" w14:paraId="25FA5E97" wp14:textId="77777777">
        <w:trPr>
          <w:trHeight w:val="500"/>
        </w:trPr>
        <w:tc>
          <w:tcPr>
            <w:tcW w:w="20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4184D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DOI</w:t>
            </w:r>
          </w:p>
        </w:tc>
        <w:tc>
          <w:tcPr>
            <w:tcW w:w="71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381B06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10.1109/ICMEW63481.2024.10645467</w:t>
            </w:r>
          </w:p>
        </w:tc>
      </w:tr>
      <w:tr xmlns:wp14="http://schemas.microsoft.com/office/word/2010/wordml" w:rsidR="00806F9E" w14:paraId="0CF8BBE7" wp14:textId="77777777">
        <w:trPr>
          <w:trHeight w:val="770"/>
        </w:trPr>
        <w:tc>
          <w:tcPr>
            <w:tcW w:w="203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10F1E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Local de Publicação</w:t>
            </w:r>
          </w:p>
        </w:tc>
        <w:tc>
          <w:tcPr>
            <w:tcW w:w="71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0D65B8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2024 IEEE International Conference on Multimedia and Expo Workshops (ICMEW)</w:t>
            </w:r>
          </w:p>
        </w:tc>
      </w:tr>
    </w:tbl>
    <w:p xmlns:wp14="http://schemas.microsoft.com/office/word/2010/wordml" w:rsidR="00806F9E" w:rsidRDefault="00BC7DB0" w14:paraId="3327E40F" wp14:textId="77777777">
      <w:pPr>
        <w:spacing w:before="240" w:after="240"/>
      </w:pPr>
      <w:r>
        <w:rPr>
          <w:b/>
          <w:bCs/>
        </w:rPr>
        <w:t>Resumo</w:t>
      </w:r>
      <w:r>
        <w:rPr>
          <w:b/>
          <w:bCs/>
        </w:rPr>
        <w:br/>
      </w:r>
      <w:r>
        <w:t xml:space="preserve"> Estudo experimental sobre o uso de IA para criar efeitos 3D sem óculos (naked‑eye 3D) em telas LED curvas. Propõe e testa três abordagens integradas a um pipeline que parte de cenas 3D em Unreal Engine, passa por depth maps e style transfer, e termina em edição/composição: (1) modelos fechados (Runway, Kaiber) para geração rápida; (2) modelos de difusão abertos (Stable Diffusion via AUTOMATIC1111) com processo em camadas para maior controle; (3) pipeline node‑based (ComfyUI) para automação e reuso. Avalia </w:t>
      </w:r>
      <w:r>
        <w:t>trade‑offs entre rapidez, controle, qualidade e custo, e aponta limitações técnicas e necessidade de avaliações subjetivas e quantitativas adicionais.</w:t>
      </w:r>
    </w:p>
    <w:p xmlns:wp14="http://schemas.microsoft.com/office/word/2010/wordml" w:rsidR="00806F9E" w:rsidRDefault="00BC7DB0" w14:paraId="0DE5552F" wp14:textId="77777777">
      <w:pPr>
        <w:spacing w:before="240" w:after="240"/>
      </w:pPr>
      <w:r>
        <w:rPr>
          <w:b/>
          <w:bCs/>
        </w:rPr>
        <w:t>Tecnologias mencionadas</w:t>
      </w:r>
      <w:r>
        <w:rPr>
          <w:b/>
          <w:bCs/>
        </w:rPr>
        <w:br/>
      </w:r>
      <w:r>
        <w:t xml:space="preserve"> Unreal Engine (nDisplay); Stable Diffusion (AUTOMATIC1111 WebUI); ComfyUI; Runway; Kaiber; Midjourney; ControlNet; LoRA; ebsynth; PlayHT; Adobe Podcast; Adobe After Effects; Facebook 3D photo depth; diffusion models; style transfer; node‑based workflows.</w:t>
      </w:r>
    </w:p>
    <w:tbl>
      <w:tblPr>
        <w:tblStyle w:val="a0"/>
        <w:tblW w:w="9390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125"/>
        <w:gridCol w:w="3530"/>
      </w:tblGrid>
      <w:tr xmlns:wp14="http://schemas.microsoft.com/office/word/2010/wordml" w:rsidR="00806F9E" w:rsidTr="5AB7616A" w14:paraId="44EAE86D" wp14:textId="77777777">
        <w:trPr>
          <w:trHeight w:val="77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0CE8069B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Subquestão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959951A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Opções / Resposta (coluna do meio)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64CFBCC" wp14:textId="77777777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Trecho de Justificativa (literal do artigo)</w:t>
            </w:r>
          </w:p>
        </w:tc>
      </w:tr>
      <w:tr xmlns:wp14="http://schemas.microsoft.com/office/word/2010/wordml" w:rsidR="00806F9E" w:rsidTr="5AB7616A" w14:paraId="2895665F" wp14:textId="77777777">
        <w:trPr>
          <w:trHeight w:val="131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492084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SQ1. Qual o tipo de contribuição do artigo?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P="5AB7616A" w:rsidRDefault="00BC7DB0" w14:paraId="6B1B6A39" wp14:textId="0071A727">
            <w:pPr>
              <w:pStyle w:val="Normal"/>
              <w:spacing w:before="240" w:after="240"/>
            </w:pPr>
            <w:r w:rsidRPr="5AB7616A" w:rsidR="5AB7616A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Pesquisa de Avaliação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B6CC76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research investigates the application of AI technology to assist in creating naked-eye 3D effects on curved LED screen."</w:t>
            </w:r>
          </w:p>
        </w:tc>
      </w:tr>
      <w:tr xmlns:wp14="http://schemas.microsoft.com/office/word/2010/wordml" w:rsidR="00806F9E" w:rsidTr="5AB7616A" w14:paraId="7D0132E3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251957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SQ2. Em qual área do conhecimento o estudo se insere?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24315D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Visual computing; produção audiovisual; computação gráfica aplicada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8B6CA4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"Creating compelling naked-eye 3D visual content for curved LED screen relies not only on the screen themselves but also on the tailor-made configuration of 3D content."</w:t>
            </w:r>
          </w:p>
        </w:tc>
      </w:tr>
      <w:tr xmlns:wp14="http://schemas.microsoft.com/office/word/2010/wordml" w:rsidR="00806F9E" w:rsidTr="5AB7616A" w14:paraId="590B7B53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3D1E9D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SQ3. Qual o foco principal da aplicação da IAG no estudo?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1DF7DF58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Style transfer e controle de profundidade para conteúdo otimizado a telas LED curvas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51FE2A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"explore diffusion model to use spatial depth information for layer adjustment and precise control with a particular focus on creating visual content optimized for naked-eye 3D effects."</w:t>
            </w:r>
          </w:p>
        </w:tc>
      </w:tr>
      <w:tr xmlns:wp14="http://schemas.microsoft.com/office/word/2010/wordml" w:rsidR="00806F9E" w:rsidTr="5AB7616A" w14:paraId="5AC261A4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1CAAF1A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 Qual tecnologia de IAG foi empregada?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4CD2A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Stable Diffusion; AUTOMATIC1111; ComfyUI; Runway; Kaiber; Midjourney; ControlNet; LoRA; ebsynth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2D65E6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tried two main different ways, one based on the online AI style transfer service platform and the other based on the open-source Diffusion model ... using ComfyUI"</w:t>
            </w:r>
          </w:p>
        </w:tc>
      </w:tr>
      <w:tr xmlns:wp14="http://schemas.microsoft.com/office/word/2010/wordml" w:rsidR="00806F9E" w:rsidTr="5AB7616A" w14:paraId="2822DB3F" wp14:textId="77777777">
        <w:trPr>
          <w:trHeight w:val="212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EC6608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SQ4.1. Quais critérios/métricas de qualidade foram utilizados? (QUALITATIVA)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60E3DA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Avaliação por caso de uso; observações sobre profundidade, flicker, controle de estilo; necessidade de avaliações subjetivas e quantitativas futuras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7A09D9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"This case study needs more test cases to improve it, such as a wider range of content types and a more comprehensive evaluation of the results. It needs more user studies, subjective evaluations and quantitative results"</w:t>
            </w:r>
          </w:p>
        </w:tc>
      </w:tr>
      <w:tr xmlns:wp14="http://schemas.microsoft.com/office/word/2010/wordml" w:rsidR="00806F9E" w:rsidTr="5AB7616A" w14:paraId="5FC29323" wp14:textId="77777777">
        <w:trPr>
          <w:trHeight w:val="293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C1CAF5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SQ4.2. O que os avaliadores concluíram sobre o conteúdo gerado? (QUALITATIVA)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999AAE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Modelos fechados: rápido e criativo; Difusão em camadas + ComfyUI: maior controle e qualidade, porém mais tempo e expertise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0B4BBAF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first approach, based on the closed-source model, allowed for quick creative generation of some effects. But the utilization of the open-source Stable Diffusion model for style transfer, along with the incorporation of layered process, and it's ComfyUI pipeline provided a more flexible and customizable approach"</w:t>
            </w:r>
          </w:p>
        </w:tc>
      </w:tr>
      <w:tr xmlns:wp14="http://schemas.microsoft.com/office/word/2010/wordml" w:rsidR="00806F9E" w:rsidTr="5AB7616A" w14:paraId="38E8253F" wp14:textId="77777777">
        <w:trPr>
          <w:trHeight w:val="158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6F86A3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SQ5. A ferramenta de IAG foi utilizada como?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19DE08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Integração de ferramentas comerciais e open‑source no pipeline; não houve desenvolvimento de novo modelo de difusão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309027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tried Runway and Kaiber" / "We utilized the Automatic1111 WebUI" / "we tried ComfyUI, a node-based GUI"</w:t>
            </w:r>
          </w:p>
        </w:tc>
      </w:tr>
      <w:tr xmlns:wp14="http://schemas.microsoft.com/office/word/2010/wordml" w:rsidR="00806F9E" w:rsidTr="5AB7616A" w14:paraId="48C91925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1928EF3E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SQ6. Quais desafios técnicos foram identificados?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A8F482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Inconsistência de depth maps; flicker interframe; necessidade de keyframe/ebsynth; custo de iteração e expertise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1F7B887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"if the migration is too large, there may cause inter-frame flicker" / "the style transfer process in the diffusion model referenced the motion and shape of the input video"</w:t>
            </w:r>
          </w:p>
        </w:tc>
      </w:tr>
      <w:tr xmlns:wp14="http://schemas.microsoft.com/office/word/2010/wordml" w:rsidR="00806F9E" w:rsidTr="5AB7616A" w14:paraId="36611D3C" wp14:textId="77777777">
        <w:trPr>
          <w:trHeight w:val="158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7F1763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SQ7. Quais desafios éticos e criativos foram apontados?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CDD91F6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Limitações para uso comercial; custo de ferramentas fechadas; adequação para apresentações comerciais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F30F55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"most of these third-party tools require payment, which adds to the cost of using them" / "this approach seems inadequate for commercial presentation content"</w:t>
            </w:r>
          </w:p>
        </w:tc>
      </w:tr>
      <w:tr xmlns:wp14="http://schemas.microsoft.com/office/word/2010/wordml" w:rsidR="00806F9E" w:rsidTr="5AB7616A" w14:paraId="5C17D8CC" wp14:textId="77777777">
        <w:trPr>
          <w:trHeight w:val="158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817590D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 O estudo apresenta análises empíricas?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F6D13D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Sim - estudos de caso práticos e experimentos com conteúdo gerado em Unreal Engine e processado por três abordagens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7D674F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swiftly created several sets of test content using the Unreal Engine 3D framework we previously established."</w:t>
            </w:r>
          </w:p>
        </w:tc>
      </w:tr>
      <w:tr xmlns:wp14="http://schemas.microsoft.com/office/word/2010/wordml" w:rsidR="00806F9E" w:rsidTr="5AB7616A" w14:paraId="687C0C3F" wp14:textId="77777777">
        <w:trPr>
          <w:trHeight w:val="212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43F94D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SQ8.1. Se sim, qual método empírico foi adotado?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806206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Experimentos de produção: geração de cenas em UE, export de frames, style transfer (fechado, difusão em camadas, ComfyUI), avaliação visual e técnica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E3AAAC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"These contents set encompass different aspects ... static or dynamic background, character, and object" / "we isolate objects from each frame and apply process separately to the character, object and background"</w:t>
            </w:r>
          </w:p>
        </w:tc>
      </w:tr>
      <w:tr xmlns:wp14="http://schemas.microsoft.com/office/word/2010/wordml" w:rsidR="00806F9E" w:rsidTr="5AB7616A" w14:paraId="0119B1C8" wp14:textId="77777777">
        <w:trPr>
          <w:trHeight w:val="131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E5E51F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SQ8.2. Quantas pessoas participaram do estudo?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DB4BA6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informado - avaliação técnica e de caso; autores recomendam user studies futuros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1BE996C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"It needs more user studies, subjective evaluations and quantitative results to test the effectiveness of the 3D effect."</w:t>
            </w:r>
          </w:p>
        </w:tc>
      </w:tr>
      <w:tr xmlns:wp14="http://schemas.microsoft.com/office/word/2010/wordml" w:rsidR="00806F9E" w:rsidTr="5AB7616A" w14:paraId="74591731" wp14:textId="77777777">
        <w:trPr>
          <w:trHeight w:val="131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954071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SQ9. Finalidade principal da IAG no estudo?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4D5A41B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Aumentar eficiência na criação de conteúdo 3D para telas curvas; permitir controle estilístico e de profundidade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A3A7D6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want to use AI to create new content quickly, making the cost of creating content for curved LED screens even lower."</w:t>
            </w:r>
          </w:p>
        </w:tc>
      </w:tr>
      <w:tr xmlns:wp14="http://schemas.microsoft.com/office/word/2010/wordml" w:rsidR="00806F9E" w:rsidTr="5AB7616A" w14:paraId="7F3714A5" wp14:textId="77777777">
        <w:trPr>
          <w:trHeight w:val="131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83CABF1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SQ10. Que tipos de conteúdos foram gerados?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4C583AF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Vídeos para telas LED curvas; frames estilizados; depth maps; composições finais para exibição on‑site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72F1355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"These images ... are then processed to create a 3D depth map ... 3D geometry ... editing and compositing"</w:t>
            </w:r>
          </w:p>
        </w:tc>
      </w:tr>
      <w:tr xmlns:wp14="http://schemas.microsoft.com/office/word/2010/wordml" w:rsidR="00806F9E" w:rsidTr="5AB7616A" w14:paraId="76EC9943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DEF476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SQ11. Tipo de dispositivo/tecnologia usada pelo usuário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03770E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Unreal Engine (nDisplay), WebUIs (AUTOMATIC1111), ComfyUI, serviços online (Runway, Kaiber), After Effects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6C4FD9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created a virtual camera in Unreal Engine ... and set up the relationship ... in nDisplay"</w:t>
            </w:r>
          </w:p>
        </w:tc>
      </w:tr>
      <w:tr xmlns:wp14="http://schemas.microsoft.com/office/word/2010/wordml" w:rsidR="00806F9E" w:rsidTr="5AB7616A" w14:paraId="2542FBA7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708FA5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SQ12. Tipo de interação com a IAG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036BE60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Prompts textuais; ControlNet para motion/consistência; prompts positivos/negativos; pipelines node‑based reutilizáveis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1969E2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isolate objects from each frame and apply process separately ... adding positive and negative prompts respectively" / "we use contorlnet to analyse the motion of character"</w:t>
            </w:r>
          </w:p>
        </w:tc>
      </w:tr>
      <w:tr xmlns:wp14="http://schemas.microsoft.com/office/word/2010/wordml" w:rsidR="00806F9E" w:rsidTr="5AB7616A" w14:paraId="5022F324" wp14:textId="77777777">
        <w:trPr>
          <w:trHeight w:val="158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BCFE70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SQ13. Modelo específico utilizado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8A0405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Stable Diffusion (AUTOMATIC1111); ControlNet; LoRA; Runway; Kaiber; Midjourney; ComfyUI workflows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8BAE82B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utilized the Automatic1111 WebUI" / "we can achieve various style transfers"</w:t>
            </w:r>
          </w:p>
        </w:tc>
      </w:tr>
      <w:tr xmlns:wp14="http://schemas.microsoft.com/office/word/2010/wordml" w:rsidR="00806F9E" w:rsidTr="5AB7616A" w14:paraId="1814D5A8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C0519C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SQ14. Modelos/benchmarks para validação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1CA9CAD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Validação qualitativa por exibição on‑site e comparação entre abordagens; sem benchmarks numéricos padronizados reportados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A0DD3C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"we confirmed the feasibility of this approach. In subsequent experiments, we construct a foundational model within Unreal Engine"</w:t>
            </w:r>
          </w:p>
        </w:tc>
      </w:tr>
      <w:tr xmlns:wp14="http://schemas.microsoft.com/office/word/2010/wordml" w:rsidR="00806F9E" w:rsidTr="5AB7616A" w14:paraId="2363F8BE" wp14:textId="77777777">
        <w:trPr>
          <w:trHeight w:val="158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5690885F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SQ15. Impacto potencial para a indústria audiovisual (QUALITATIVA)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2675E627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Redução de custo e tempo; democratização de criação para telas curvas; necessidade de pipeline e expertise para produção comercial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39059C0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"The use of generative AI techniques could enable efficient content transformation and processes, while opening new doors for innovation"</w:t>
            </w:r>
          </w:p>
        </w:tc>
      </w:tr>
      <w:tr xmlns:wp14="http://schemas.microsoft.com/office/word/2010/wordml" w:rsidR="00806F9E" w:rsidTr="5AB7616A" w14:paraId="6C807B89" wp14:textId="77777777">
        <w:trPr>
          <w:trHeight w:val="185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1F1AE34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SQ16. Desafios quanto à reprodutibilidade e confiabilidade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07CFE45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Dependência de parâmetros, prompts e qualidade do input; variabilidade entre modelos; necessidade de ajustes finos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15C6353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"satisfactory adjustment results rely on well-designed initial inputs" / "diffusion model requires more explicit content building to achieve a better display of results"</w:t>
            </w:r>
          </w:p>
        </w:tc>
      </w:tr>
      <w:tr xmlns:wp14="http://schemas.microsoft.com/office/word/2010/wordml" w:rsidR="00806F9E" w:rsidTr="5AB7616A" w14:paraId="6633E064" wp14:textId="77777777">
        <w:trPr>
          <w:trHeight w:val="1580"/>
        </w:trPr>
        <w:tc>
          <w:tcPr>
            <w:tcW w:w="273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2C99AEA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SQ17. A intenção dos autores era tornar perceptível o uso da IAG?</w:t>
            </w:r>
          </w:p>
        </w:tc>
        <w:tc>
          <w:tcPr>
            <w:tcW w:w="31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7905A4A9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Não declarado explicitamente; foco em IA como suporte ao processo criativo, não em ocultar/mostrar a IA</w:t>
            </w:r>
          </w:p>
        </w:tc>
        <w:tc>
          <w:tcPr>
            <w:tcW w:w="35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6F9E" w:rsidRDefault="00BC7DB0" w14:paraId="6A09E912" wp14:textId="77777777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xmlns:wp14="http://schemas.microsoft.com/office/word/2010/wordml" w:rsidR="00806F9E" w:rsidRDefault="00806F9E" w14:paraId="0A37501D" wp14:textId="77777777">
      <w:pPr>
        <w:spacing w:before="240" w:after="240"/>
        <w:rPr>
          <w:b/>
          <w:bCs/>
        </w:rPr>
      </w:pPr>
    </w:p>
    <w:p xmlns:wp14="http://schemas.microsoft.com/office/word/2010/wordml" w:rsidR="00806F9E" w:rsidRDefault="00806F9E" w14:paraId="5DAB6C7B" wp14:textId="77777777"/>
    <w:sectPr w:rsidR="00806F9E">
      <w:pgSz w:w="11906" w:h="16838" w:orient="portrait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764408D-5C46-4A49-AC06-D11609ECCAA6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0FA69EA-E54E-430D-B561-B45932743AFD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F9E"/>
    <w:rsid w:val="004D63B9"/>
    <w:rsid w:val="00806F9E"/>
    <w:rsid w:val="5AB7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90EF"/>
  <w15:docId w15:val="{DC52EEA1-69E2-43B8-A8E0-B7ACD7DBF9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Guilherme Roth</lastModifiedBy>
  <revision>2</revision>
  <dcterms:created xsi:type="dcterms:W3CDTF">2025-11-26T16:11:00.0000000Z</dcterms:created>
  <dcterms:modified xsi:type="dcterms:W3CDTF">2025-11-26T16:13:44.2175047Z</dcterms:modified>
</coreProperties>
</file>