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C0720D" w:rsidRDefault="00C0720D" w14:paraId="672A6659" wp14:textId="77777777">
      <w:pPr>
        <w:spacing w:before="240" w:after="240"/>
        <w:rPr>
          <w:b/>
          <w:bCs/>
        </w:rPr>
      </w:pPr>
    </w:p>
    <w:tbl>
      <w:tblPr>
        <w:tblStyle w:val="a"/>
        <w:tblW w:w="9220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7325"/>
      </w:tblGrid>
      <w:tr xmlns:wp14="http://schemas.microsoft.com/office/word/2010/wordml" w:rsidR="00C0720D" w14:paraId="190D8317" wp14:textId="77777777">
        <w:trPr>
          <w:trHeight w:val="500"/>
        </w:trPr>
        <w:tc>
          <w:tcPr>
            <w:tcW w:w="18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2C17BDAF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em Porifera</w:t>
            </w:r>
          </w:p>
        </w:tc>
        <w:tc>
          <w:tcPr>
            <w:tcW w:w="732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1413BA2A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233</w:t>
            </w:r>
          </w:p>
        </w:tc>
      </w:tr>
      <w:tr xmlns:wp14="http://schemas.microsoft.com/office/word/2010/wordml" w:rsidR="00C0720D" w14:paraId="3990BEA6" wp14:textId="77777777">
        <w:trPr>
          <w:trHeight w:val="500"/>
        </w:trPr>
        <w:tc>
          <w:tcPr>
            <w:tcW w:w="18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3198766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Autor e Ano</w:t>
            </w:r>
          </w:p>
        </w:tc>
        <w:tc>
          <w:tcPr>
            <w:tcW w:w="732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116B7490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Haohong Wang; Daniel Smith; Malgorzata Kudelska - 2024</w:t>
            </w:r>
          </w:p>
        </w:tc>
      </w:tr>
      <w:tr xmlns:wp14="http://schemas.microsoft.com/office/word/2010/wordml" w:rsidR="00C0720D" w14:paraId="7D175320" wp14:textId="77777777">
        <w:trPr>
          <w:trHeight w:val="500"/>
        </w:trPr>
        <w:tc>
          <w:tcPr>
            <w:tcW w:w="18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54184D58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DOI</w:t>
            </w:r>
          </w:p>
        </w:tc>
        <w:tc>
          <w:tcPr>
            <w:tcW w:w="732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06FCE2B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10.1109/MIPR62202.2024.00018</w:t>
            </w:r>
          </w:p>
        </w:tc>
      </w:tr>
      <w:tr xmlns:wp14="http://schemas.microsoft.com/office/word/2010/wordml" w:rsidR="00C0720D" w14:paraId="02351A71" wp14:textId="77777777">
        <w:trPr>
          <w:trHeight w:val="770"/>
        </w:trPr>
        <w:tc>
          <w:tcPr>
            <w:tcW w:w="18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510F1E7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Local de Publicação</w:t>
            </w:r>
          </w:p>
        </w:tc>
        <w:tc>
          <w:tcPr>
            <w:tcW w:w="732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1EBAEA0C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2024 IEEE 7th International Conference on Multimedia Information Processing and Retrieval (MIPR)</w:t>
            </w:r>
          </w:p>
        </w:tc>
      </w:tr>
    </w:tbl>
    <w:p xmlns:wp14="http://schemas.microsoft.com/office/word/2010/wordml" w:rsidR="00C0720D" w:rsidRDefault="007F64BC" w14:paraId="6BEACA69" wp14:textId="77777777">
      <w:pPr>
        <w:spacing w:before="240" w:after="240"/>
      </w:pPr>
      <w:r>
        <w:rPr>
          <w:b/>
          <w:bCs/>
        </w:rPr>
        <w:t>Resumo</w:t>
      </w:r>
      <w:r>
        <w:rPr>
          <w:b/>
          <w:bCs/>
        </w:rPr>
        <w:br/>
      </w:r>
      <w:r>
        <w:t>Artigo de posição que apresenta uma visão estratégica para um “futuro 10x” da produção cinematográfica impulsionada por AIGC (Artificial Intelligence Generated Content). Descreve avanços em modelos de difusão e ferramentas (Midjourney, Runway, Pika, SORA, LUMA), analisa desafios técnicos centrais para adoção em filmmaking (consistência de personagens e cenários, controlabilidade de câmera, interações em alta velocidade, custo computacional e escalabilidade temporal) e propõe arquiteturas e práticas temporár</w:t>
      </w:r>
      <w:r>
        <w:t>ias para mitigar limitações atuais. Inclui um estudo de caso prático - a produção do curta Next Stop Paris usando a plataforma interna MineStudio - que demonstra um pipeline iterativo baseado em prompts e refinamentos multimodais. Conclui com implicações para transformação de papéis na indústria e recomendações de pesquisa em controle, consistência e escalabilidade.</w:t>
      </w:r>
    </w:p>
    <w:p xmlns:wp14="http://schemas.microsoft.com/office/word/2010/wordml" w:rsidR="00C0720D" w:rsidRDefault="007F64BC" w14:paraId="5FEB992E" wp14:textId="77777777">
      <w:pPr>
        <w:spacing w:before="240" w:after="240"/>
      </w:pPr>
      <w:r>
        <w:rPr>
          <w:b/>
          <w:bCs/>
        </w:rPr>
        <w:t>Tecnologias mencionadas</w:t>
      </w:r>
      <w:r>
        <w:rPr>
          <w:b/>
          <w:bCs/>
        </w:rPr>
        <w:br/>
      </w:r>
      <w:r>
        <w:t>Diffusion models (Stable Diffusion, DALL·E, Imagen); Stable Video Diffusion; Stable Video 3D; Midjourney; Runway; Pika; Sora (OpenAI); LUMA; AUTOMATIC1111 WebUI; ComfyUI; ControlNet; OpenPose; DreamBooth; LoRA; Textual Inversion; IP-Adapter; PhotoMaker; motion LoRAs; MotionCtrl; U-Net; Vision Transformers; depth estimates; temporal/spatio-temporal attention; MineStudio (plataforma interna).</w:t>
      </w:r>
    </w:p>
    <w:tbl>
      <w:tblPr>
        <w:tblStyle w:val="a0"/>
        <w:tblW w:w="9390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3350"/>
        <w:gridCol w:w="3350"/>
      </w:tblGrid>
      <w:tr xmlns:wp14="http://schemas.microsoft.com/office/word/2010/wordml" w:rsidR="00C0720D" w:rsidTr="4F95102A" w14:paraId="2D70DA0B" wp14:textId="77777777">
        <w:trPr>
          <w:trHeight w:val="77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0CE8069B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Subquestão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2EA48305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Resposta resumida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7DDBB2DD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Trecho de justificativa (literal do artigo)</w:t>
            </w:r>
          </w:p>
        </w:tc>
      </w:tr>
      <w:tr xmlns:wp14="http://schemas.microsoft.com/office/word/2010/wordml" w:rsidR="00C0720D" w:rsidTr="4F95102A" w14:paraId="0F49467A" wp14:textId="77777777">
        <w:trPr>
          <w:trHeight w:val="266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42E6354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SQ1. Tipo de contribuição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P="4F95102A" w:rsidRDefault="007F64BC" w14:paraId="5D22367C" wp14:textId="15900D9D">
            <w:pPr>
              <w:pStyle w:val="Normal"/>
              <w:spacing w:before="240" w:after="240"/>
            </w:pPr>
            <w:r w:rsidRPr="4F95102A" w:rsidR="4F95102A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Pesquisa de Validação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6820FC62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"In this position paper, we present a vision for the future of filmmaking, driven by the emergence of generative AI technology." / "we present a demonstration of the transitional workflow that we have utilized to produce ... Next Stop Paris."</w:t>
            </w:r>
          </w:p>
        </w:tc>
      </w:tr>
      <w:tr xmlns:wp14="http://schemas.microsoft.com/office/word/2010/wordml" w:rsidR="00C0720D" w:rsidTr="4F95102A" w14:paraId="1E027F55" wp14:textId="77777777">
        <w:trPr>
          <w:trHeight w:val="104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55AF44A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SQ2. Área do conhecimento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429E6BFF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Produção audiovisual, multimídia e AIGC aplicado a filmmaking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542FFD5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"This vision for the future of filmmaking ... the integration of AI into filmmaking endeavors"</w:t>
            </w:r>
          </w:p>
        </w:tc>
      </w:tr>
      <w:tr xmlns:wp14="http://schemas.microsoft.com/office/word/2010/wordml" w:rsidR="00C0720D" w:rsidTr="4F95102A" w14:paraId="61C96CC1" wp14:textId="77777777">
        <w:trPr>
          <w:trHeight w:val="158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0851B70A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SQ3. Foco principal da aplicação da IAG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79D64D02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Reimaginar o pipeline de produção de filmes com AIGC - design de personagens, cena, animação, composição e refinamento por prompts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04C6AFC7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"Character Design with AI; Scene Design with AI; Animation with AI; Composition with AI"</w:t>
            </w:r>
          </w:p>
        </w:tc>
      </w:tr>
      <w:tr xmlns:wp14="http://schemas.microsoft.com/office/word/2010/wordml" w:rsidR="00C0720D" w:rsidTr="4F95102A" w14:paraId="45FCC769" wp14:textId="77777777">
        <w:trPr>
          <w:trHeight w:val="158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605B3192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SQ4. Tecnologias de IAG empregadas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09ABF800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Ecossistema de modelos de difusão e ferramentas AIGC comerciais e open-source; técnicas de controle e fine-tuning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3F77C54B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"recent advancements in diffusion models and the emergence of AI tools such as Midjourney, Runway, Pika, SORA, and LUMA"</w:t>
            </w:r>
          </w:p>
        </w:tc>
      </w:tr>
      <w:tr xmlns:wp14="http://schemas.microsoft.com/office/word/2010/wordml" w:rsidR="00C0720D" w:rsidTr="4F95102A" w14:paraId="4BE5FA07" wp14:textId="77777777">
        <w:trPr>
          <w:trHeight w:val="185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2E75889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SQ4.1. Métricas de qualidade usadas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4FD3B89E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Avaliação qualitativa - consistência temporal, fidelidade de personagem, estabilidade; menção a técnicas para melhorar consistência (depth, attention)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16D3283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"To achieve temporal consistency, models need to share information across frames ... pre-processed features like depth estimates guide the denoising process"</w:t>
            </w:r>
          </w:p>
        </w:tc>
      </w:tr>
      <w:tr xmlns:wp14="http://schemas.microsoft.com/office/word/2010/wordml" w:rsidR="00C0720D" w:rsidTr="4F95102A" w14:paraId="1C4F9A9F" wp14:textId="77777777">
        <w:trPr>
          <w:trHeight w:val="158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642DEAC8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SQ4.2. Conclusões dos avaliadores sobre o conteúdo gerado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3C1832C9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AIGC já permite prototipagem e curtas experimentais, mas ainda há limitações importantes; soluções híbridas e refinamento iterativo são necessários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34581C5F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"these tools establish a solid foundation ... yet several challenges must be confronted"</w:t>
            </w:r>
          </w:p>
        </w:tc>
      </w:tr>
      <w:tr xmlns:wp14="http://schemas.microsoft.com/office/word/2010/wordml" w:rsidR="00C0720D" w:rsidTr="4F95102A" w14:paraId="0DCA44ED" wp14:textId="77777777">
        <w:trPr>
          <w:trHeight w:val="158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505E4B0C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SQ5. Uso da ferramenta de IAG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22E9AA88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Integração de múltiplos módulos AIGC em pipeline; MineStudio como orquestrador interno que aceita prompts e refine prompts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3FF2469A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production of 'Next Stop Paris' was facilitated by an in-house AI solution named MineStudio"</w:t>
            </w:r>
          </w:p>
        </w:tc>
      </w:tr>
      <w:tr xmlns:wp14="http://schemas.microsoft.com/office/word/2010/wordml" w:rsidR="00C0720D" w:rsidTr="4F95102A" w14:paraId="5BF7B241" wp14:textId="77777777">
        <w:trPr>
          <w:trHeight w:val="212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245F703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SQ6. Desafios técnicos identificados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070EFA08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Consistência de personagens e cenários; controlabilidade de movimentos de câmera; interações complexas e alta velocidade; custo computacional; geração de longas sequências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7C331A0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"consistency issues are evident ... inconsistency issues in the videos generated using Sora" / "video length poses a significant challenge"</w:t>
            </w:r>
          </w:p>
        </w:tc>
      </w:tr>
      <w:tr xmlns:wp14="http://schemas.microsoft.com/office/word/2010/wordml" w:rsidR="00C0720D" w:rsidTr="4F95102A" w14:paraId="0DEBD180" wp14:textId="77777777">
        <w:trPr>
          <w:trHeight w:val="158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7E0C5E3F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SQ7. Desafios éticos e criativos apontados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557CAE72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Reestruturação de papéis profissionais; questões de autoria e propriedade intelectual; necessidade de governança responsável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781C266E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"this transformative wave will indeed restructure conventional job roles while simultaneously birthing a multitude of new opportunities"</w:t>
            </w:r>
          </w:p>
        </w:tc>
      </w:tr>
      <w:tr xmlns:wp14="http://schemas.microsoft.com/office/word/2010/wordml" w:rsidR="00C0720D" w:rsidTr="4F95102A" w14:paraId="09D6865A" wp14:textId="77777777">
        <w:trPr>
          <w:trHeight w:val="131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7590346F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SQ8. Há análises empíricas?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56AA60C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Parcialmente - demonstração prática com pipeline e estudo de caso (Next Stop Paris); análise técnica dos limites atuais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0F4CF6F7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"we present a demonstration of the transitional workflow that we have utilized to produce ... Next Stop Paris"</w:t>
            </w:r>
          </w:p>
        </w:tc>
      </w:tr>
      <w:tr xmlns:wp14="http://schemas.microsoft.com/office/word/2010/wordml" w:rsidR="00C0720D" w:rsidTr="4F95102A" w14:paraId="5FA6A399" wp14:textId="77777777">
        <w:trPr>
          <w:trHeight w:val="212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703474DA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SQ8.1. Método empírico adotado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12B085A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Estudo de caso de produção: pipeline iterativo com geração e refinamento por prompts, subdivisão em unidades curtas (shots), integração de módulos (imagem, animação, background)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11F4FCE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system can be conceptualized as comprising three interconnected subsystems ... image diffusion model; character animation flow; background video processing flow."</w:t>
            </w:r>
          </w:p>
        </w:tc>
      </w:tr>
      <w:tr xmlns:wp14="http://schemas.microsoft.com/office/word/2010/wordml" w:rsidR="00C0720D" w:rsidTr="4F95102A" w14:paraId="24381F1A" wp14:textId="77777777">
        <w:trPr>
          <w:trHeight w:val="77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7719A50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SQ8.2. Quantas pessoas participaram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6D38F690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Não informado explicitamente no artigo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6A09E912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xmlns:wp14="http://schemas.microsoft.com/office/word/2010/wordml" w:rsidR="00C0720D" w:rsidTr="4F95102A" w14:paraId="257C50AF" wp14:textId="77777777">
        <w:trPr>
          <w:trHeight w:val="158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282EE83C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SQ9. Finalidade principal da IAG no estudo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09E16E22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Acelerar e ampliar a criação cinematográfica, reduzir custos e tempo, permitir experimentação criativa em escala (visão 10x)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6D804D8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"we present a vision for the future of filmmaking, driven by the emergence of generative AI technology"</w:t>
            </w:r>
          </w:p>
        </w:tc>
      </w:tr>
      <w:tr xmlns:wp14="http://schemas.microsoft.com/office/word/2010/wordml" w:rsidR="00C0720D" w:rsidTr="4F95102A" w14:paraId="68EACE1F" wp14:textId="77777777">
        <w:trPr>
          <w:trHeight w:val="158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7A456BB1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SQ10. Tipos de conteúdos gerados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56BFBB10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Frames e vídeos curtos (shots), personagens animados, cenas compostas, protótipos de filmes (ex.: trailer/curta Next Stop Paris)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159566D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"projects like Our T2 Remake and Next Stop Paris ... produced short films"</w:t>
            </w:r>
          </w:p>
        </w:tc>
      </w:tr>
      <w:tr xmlns:wp14="http://schemas.microsoft.com/office/word/2010/wordml" w:rsidR="00C0720D" w:rsidTr="4F95102A" w14:paraId="559CE56B" wp14:textId="77777777">
        <w:trPr>
          <w:trHeight w:val="185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3893010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SQ11. Dispositivo/tecnologia usada pelo usuário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795CFADF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Plataformas AIGC web e locais, ferramentas de edição/composição, infraestrutura de orquestração (MineStudio), GPUs para difusão e modelos de vídeo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23A9C08B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"tools such as Pika or Runway to generate videos ... MineStudio Engine"</w:t>
            </w:r>
          </w:p>
        </w:tc>
      </w:tr>
      <w:tr xmlns:wp14="http://schemas.microsoft.com/office/word/2010/wordml" w:rsidR="00C0720D" w:rsidTr="4F95102A" w14:paraId="5F229934" wp14:textId="77777777">
        <w:trPr>
          <w:trHeight w:val="158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7708FA52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SQ12. Tipo de interação com a IAG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716AAF7E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Prompting iterativo e refinamento - initial prompt + refine prompts; inputs multimodais (texto, imagem, pose, camera settings, motion)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38A75581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"users can utilize multiple refine prompts, such as text, images, poses, camera settings, motion"</w:t>
            </w:r>
          </w:p>
        </w:tc>
      </w:tr>
      <w:tr xmlns:wp14="http://schemas.microsoft.com/office/word/2010/wordml" w:rsidR="00C0720D" w:rsidTr="4F95102A" w14:paraId="5157D95A" wp14:textId="77777777">
        <w:trPr>
          <w:trHeight w:val="185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58CBA01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SQ13. Modelos específicos citados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0DF2633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Sora (OpenAI), Stable Diffusion e variantes de vídeo, Midjourney, Runway, Pika; técnicas: ControlNet, DreamBooth, LoRA, OpenPose, motion LoRAs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61E22DC7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"Sora ... Stable Video Diffusion ... motion LoRAs ... MotionCtrl"</w:t>
            </w:r>
          </w:p>
        </w:tc>
      </w:tr>
      <w:tr xmlns:wp14="http://schemas.microsoft.com/office/word/2010/wordml" w:rsidR="00C0720D" w:rsidTr="4F95102A" w14:paraId="643CB555" wp14:textId="77777777">
        <w:trPr>
          <w:trHeight w:val="131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3C0519CA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SQ14. Modelos/benchmarks para validação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0F8849F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Avaliação qualitativa e comparativa com limitações conhecidas; não há benchmarks padronizados extensos no artigo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528AA26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"While short clips suffice for trailers ... video length poses a significant challenge"</w:t>
            </w:r>
          </w:p>
        </w:tc>
      </w:tr>
      <w:tr xmlns:wp14="http://schemas.microsoft.com/office/word/2010/wordml" w:rsidR="00C0720D" w:rsidTr="4F95102A" w14:paraId="6A613F36" wp14:textId="77777777">
        <w:trPr>
          <w:trHeight w:val="185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1AF00B4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SQ15. Impacto potencial para a indústria audiovisual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6F30E5BB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Transformação de workflows, surgimento de novas profissões (AI animators, gestores de pipeline), aceleração de incubação de IP e democratização da produção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73E9C0F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"We foresee a future akin to Silicon Valley's technology incubation, where intellectual property (IP) incubation thrives in Hollywood."</w:t>
            </w:r>
          </w:p>
        </w:tc>
      </w:tr>
      <w:tr xmlns:wp14="http://schemas.microsoft.com/office/word/2010/wordml" w:rsidR="00C0720D" w:rsidTr="4F95102A" w14:paraId="4AAD2582" wp14:textId="77777777">
        <w:trPr>
          <w:trHeight w:val="185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389B75DE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SQ16. Desafios de reprodutibilidade e confiabilidade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3000AA50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Variabilidade entre modelos, necessidade de fine-tuning, dependência de dados de referência, custo computacional e necessidade de pipelines híbridos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66A229A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"In fine-tuned models, challenges arise in achieving a faithful generation ... when utilizing image prompting, the final image's resemblance ... often exhibits less accuracy."</w:t>
            </w:r>
          </w:p>
        </w:tc>
      </w:tr>
      <w:tr xmlns:wp14="http://schemas.microsoft.com/office/word/2010/wordml" w:rsidR="00C0720D" w:rsidTr="4F95102A" w14:paraId="6F178F34" wp14:textId="77777777">
        <w:trPr>
          <w:trHeight w:val="1850"/>
        </w:trPr>
        <w:tc>
          <w:tcPr>
            <w:tcW w:w="26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607BB4E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SQ17. Autoria e transparência do uso de IAG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0704299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Autoria discutida como questão relevante; artigo demonstra uso explícito de AIGC e pipeline iterativo, sem intenção de ocultar a presença da IA</w:t>
            </w:r>
          </w:p>
        </w:tc>
        <w:tc>
          <w:tcPr>
            <w:tcW w:w="3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720D" w:rsidRDefault="007F64BC" w14:paraId="24AB737B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"we present a demonstration of the transitional workflow that we have utilized to produce one of the world's first AIGC love stories entitled Next Stop Paris."</w:t>
            </w:r>
          </w:p>
        </w:tc>
      </w:tr>
    </w:tbl>
    <w:p xmlns:wp14="http://schemas.microsoft.com/office/word/2010/wordml" w:rsidR="00C0720D" w:rsidRDefault="00C0720D" w14:paraId="0A37501D" wp14:textId="77777777">
      <w:pPr>
        <w:spacing w:before="240" w:after="240"/>
        <w:rPr>
          <w:b/>
          <w:bCs/>
        </w:rPr>
      </w:pPr>
    </w:p>
    <w:p xmlns:wp14="http://schemas.microsoft.com/office/word/2010/wordml" w:rsidR="00C0720D" w:rsidRDefault="00C0720D" w14:paraId="5DAB6C7B" wp14:textId="77777777"/>
    <w:sectPr w:rsidR="00C0720D">
      <w:pgSz w:w="11906" w:h="16838" w:orient="portrait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7BD3D8C-303C-4CD7-BB20-CD7085734F96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0C297DC-D6C7-41E0-AF47-B2824F370E8B}" r:id="rId2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20D"/>
    <w:rsid w:val="00157033"/>
    <w:rsid w:val="00C0720D"/>
    <w:rsid w:val="4F95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C4B58"/>
  <w15:docId w15:val="{CCE39B40-CB2D-456A-81B4-F6E9DE03F3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Guilherme Roth</lastModifiedBy>
  <revision>2</revision>
  <dcterms:created xsi:type="dcterms:W3CDTF">2025-11-26T16:27:00.0000000Z</dcterms:created>
  <dcterms:modified xsi:type="dcterms:W3CDTF">2025-11-26T16:31:16.8670464Z</dcterms:modified>
</coreProperties>
</file>