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QuietRead: native document viewer</w:t>
      </w:r>
    </w:p>
    <w:p>
      <w:r>
        <w:t>Проверка русского текста: документы, таблицы, презентации. Search keyword: performance.</w:t>
      </w:r>
    </w:p>
    <w:p>
      <w:r>
        <w:drawing>
          <wp:inline xmlns:a="http://schemas.openxmlformats.org/drawingml/2006/main" xmlns:pic="http://schemas.openxmlformats.org/drawingml/2006/picture">
            <wp:extent cx="5029200" cy="1293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Formatting and tables</w:t>
      </w:r>
    </w:p>
    <w:p>
      <w:r>
        <w:t xml:space="preserve">Rich text: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LibreOfficeKit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ODS</w:t>
            </w:r>
          </w:p>
        </w:tc>
        <w:tc>
          <w:tcPr>
            <w:tcW w:type="dxa" w:w="2880"/>
          </w:tcPr>
          <w:p>
            <w:r>
              <w:t>LibreOfficeKit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Title"/>
      </w:pPr>
      <w:r>
        <w:t>Second page</w:t>
      </w:r>
    </w:p>
    <w:p>
      <w:r>
        <w:t>Page navigation and bookmarks. Performance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