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QuietRead: native document viewer</w:t>
      </w:r>
    </w:p>
    <w:p>
      <w:r>
        <w:t>Проверка русского текста: документы, таблицы, презентации. Search keyword: performance.</w:t>
      </w:r>
    </w:p>
    <w:p>
      <w:r>
        <w:drawing>
          <wp:inline xmlns:a="http://schemas.openxmlformats.org/drawingml/2006/main" xmlns:pic="http://schemas.openxmlformats.org/drawingml/2006/picture">
            <wp:extent cx="5029200" cy="1293223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banner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029200" cy="1293223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Heading1"/>
      </w:pPr>
      <w:r>
        <w:t>Formatting and tables</w:t>
      </w:r>
    </w:p>
    <w:p>
      <w:r>
        <w:t xml:space="preserve">Rich text: </w:t>
      </w:r>
      <w:r>
        <w:rPr>
          <w:b/>
        </w:rPr>
        <w:t>bold</w:t>
      </w:r>
      <w:r>
        <w:t xml:space="preserve">, </w:t>
      </w:r>
      <w:r>
        <w:rPr>
          <w:i/>
        </w:rPr>
        <w:t>italic</w:t>
      </w:r>
    </w:p>
    <w:tbl>
      <w:tblPr>
        <w:tblStyle w:val="LightShading-Accent1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Format</w:t>
            </w:r>
          </w:p>
        </w:tc>
        <w:tc>
          <w:tcPr>
            <w:tcW w:type="dxa" w:w="2880"/>
          </w:tcPr>
          <w:p>
            <w:r>
              <w:t>Engine</w:t>
            </w:r>
          </w:p>
        </w:tc>
        <w:tc>
          <w:tcPr>
            <w:tcW w:type="dxa" w:w="2880"/>
          </w:tcPr>
          <w:p>
            <w:r>
              <w:t>Offline</w:t>
            </w:r>
          </w:p>
        </w:tc>
      </w:tr>
      <w:tr>
        <w:tc>
          <w:tcPr>
            <w:tcW w:type="dxa" w:w="2880"/>
          </w:tcPr>
          <w:p>
            <w:r>
              <w:t>DOCX</w:t>
            </w:r>
          </w:p>
        </w:tc>
        <w:tc>
          <w:tcPr>
            <w:tcW w:type="dxa" w:w="2880"/>
          </w:tcPr>
          <w:p>
            <w:r>
              <w:t>LibreOfficeKit</w:t>
            </w:r>
          </w:p>
        </w:tc>
        <w:tc>
          <w:tcPr>
            <w:tcW w:type="dxa" w:w="2880"/>
          </w:tcPr>
          <w:p>
            <w:r>
              <w:t>Yes</w:t>
            </w:r>
          </w:p>
        </w:tc>
      </w:tr>
      <w:tr>
        <w:tc>
          <w:tcPr>
            <w:tcW w:type="dxa" w:w="2880"/>
          </w:tcPr>
          <w:p>
            <w:r>
              <w:t>PDF</w:t>
            </w:r>
          </w:p>
        </w:tc>
        <w:tc>
          <w:tcPr>
            <w:tcW w:type="dxa" w:w="2880"/>
          </w:tcPr>
          <w:p>
            <w:r>
              <w:t>Android</w:t>
            </w:r>
          </w:p>
        </w:tc>
        <w:tc>
          <w:tcPr>
            <w:tcW w:type="dxa" w:w="2880"/>
          </w:tcPr>
          <w:p>
            <w:r>
              <w:t>Yes</w:t>
            </w:r>
          </w:p>
        </w:tc>
      </w:tr>
      <w:tr>
        <w:tc>
          <w:tcPr>
            <w:tcW w:type="dxa" w:w="2880"/>
          </w:tcPr>
          <w:p>
            <w:r>
              <w:t>ODS</w:t>
            </w:r>
          </w:p>
        </w:tc>
        <w:tc>
          <w:tcPr>
            <w:tcW w:type="dxa" w:w="2880"/>
          </w:tcPr>
          <w:p>
            <w:r>
              <w:t>LibreOfficeKit</w:t>
            </w:r>
          </w:p>
        </w:tc>
        <w:tc>
          <w:tcPr>
            <w:tcW w:type="dxa" w:w="2880"/>
          </w:tcPr>
          <w:p>
            <w:r>
              <w:t>Yes</w:t>
            </w:r>
          </w:p>
        </w:tc>
      </w:tr>
    </w:tbl>
    <w:p>
      <w:r>
        <w:br w:type="page"/>
      </w:r>
    </w:p>
    <w:p>
      <w:pPr>
        <w:pStyle w:val="Title"/>
      </w:pPr>
      <w:r>
        <w:t>Second page</w:t>
      </w:r>
    </w:p>
    <w:p>
      <w:r>
        <w:t>Page navigation and bookmarks. Performance matters.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