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Arquitectura y modelo de datos del nuevo AFRISAN</w:t>
      </w:r>
    </w:p>
    <w:p>
      <w:pPr>
        <w:pStyle w:val="Subtitle"/>
      </w:pPr>
      <w:r>
        <w:t>Sistema Integral de Gestión y Trazabilidad de Refrigerantes · Corte documental 29 de octubre de 2026 · Responsable actual Dante Moya</w:t>
      </w:r>
    </w:p>
    <w:p>
      <w:r>
        <w:t>Responsable actual Dante Moya · Versión documental en español del 29 de octubre de 2026</w:t>
      </w:r>
    </w:p>
    <w:p>
      <w:pPr>
        <w:pStyle w:val="Heading1"/>
      </w:pPr>
      <w:r>
        <w:t>1 Propósito y resultado de la revisión</w:t>
      </w:r>
    </w:p>
    <w:p>
      <w:r>
        <w:t>La nueva aplicación permite demostrar el control de cilindros y órdenes de trabajo mediante un recorrido de reemplazo físico con pesajes, fotografías, recepción y dos revisiones sucesivas. La estructura tecnológica conserva .NET 8, Blazor WebAssembly y ASP.NET Core Web API. El destino de persistencia continúa siendo PostgreSQL en Supabase mediante una integración de servidor; la aplicación ejecutable todavía utiliza datos temporales en memoria. [1] [2]</w:t>
      </w:r>
    </w:p>
    <w:p>
      <w:r>
        <w:t>Esta actualización sustituye como descripción operativa las referencias antiguas a una carga de refrigerante a equipos y al despacho registrado por Bodega. Los documentos anteriores se conservan como antecedentes de diseño y autoría. Los resultados citados proceden de ejecuciones guardadas del 22 y 25 de octubre de 2026; esta revisión documental no vuelve a ejecutar esos ensayos ni acredita aceptación del cliente.</w:t>
      </w:r>
    </w:p>
    <w:p>
      <w:pPr>
        <w:pStyle w:val="Heading1"/>
      </w:pPr>
      <w:r>
        <w:t>2 Flujo operativo vigente</w:t>
      </w:r>
    </w:p>
    <w:p>
      <w:r>
        <w:t>El Autorizador prepara y asigna una OT con sucursal, técnico, refrigerantes y cantidades solicitadas y autorizadas. El Técnico asignado selecciona en Bodega un cilindro disponible del refrigerante encargado, registra el peso bruto de salida y adjunta la fotografía de la balanza. La confirmación registra la custodia y deja el cilindro En proceso de despacho. [1] [4]</w:t>
      </w:r>
    </w:p>
    <w:p>
      <w:r>
        <w:t>En terreno el Técnico identifica los cilindros retirado e instalado y conserva los pesos y fotografías correspondientes. Un agregado no requiere un cilindro retirado ficticio. El instalado permanece en la sucursal. El Técnico informa la entrega del retirado y el término del trabajo; esa declaración no equivale a una recepción física por Bodega.</w:t>
      </w:r>
    </w:p>
    <w:p>
      <w:r>
        <w:t>Bodega recibe el cilindro retirado y los envases devueltos sin uso, registra su propio peso y aprueba el trabajo una vez resueltos los pendientes de recepción. El peso recibido y el informado en terreno son registros separados. Después de la aprobación de Bodega, el Autorizador revisa fotografías y registros, resuelve las incidencias aplicables y realiza el cierre administrativo. Ambas revisiones conservan actor y fecha.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62"/>
        <w:gridCol w:w="4762"/>
      </w:tblGrid>
      <w:tr>
        <w:trPr>
          <w:tblHeader/>
        </w:trPr>
        <w:tc>
          <w:tcPr>
            <w:tcW w:type="dxa" w:w="4020"/>
            <w:vAlign w:val="center"/>
            <w:tcMar>
              <w:top w:w="85" w:type="dxa"/>
              <w:left w:w="85" w:type="dxa"/>
              <w:bottom w:w="85" w:type="dxa"/>
              <w:right w:w="85" w:type="dxa"/>
            </w:tcMar>
            <w:shd w:fill="24445F"/>
          </w:tcPr>
          <w:p>
            <w:pPr>
              <w:keepNext/>
              <w:spacing w:before="40" w:after="60" w:line="240" w:lineRule="auto"/>
            </w:pPr>
            <w:r>
              <w:rPr>
                <w:b/>
                <w:color w:val="FFFFFF"/>
                <w:sz w:val="22"/>
              </w:rPr>
              <w:t>Estado de la OT</w:t>
            </w:r>
          </w:p>
        </w:tc>
        <w:tc>
          <w:tcPr>
            <w:tcW w:type="dxa" w:w="5504"/>
            <w:vAlign w:val="center"/>
            <w:tcMar>
              <w:top w:w="85" w:type="dxa"/>
              <w:left w:w="85" w:type="dxa"/>
              <w:bottom w:w="85" w:type="dxa"/>
              <w:right w:w="85" w:type="dxa"/>
            </w:tcMar>
            <w:shd w:fill="24445F"/>
          </w:tcPr>
          <w:p>
            <w:pPr>
              <w:keepNext/>
              <w:spacing w:before="40" w:after="60" w:line="240" w:lineRule="auto"/>
            </w:pPr>
            <w:r>
              <w:rPr>
                <w:b/>
                <w:color w:val="FFFFFF"/>
                <w:sz w:val="22"/>
              </w:rPr>
              <w:t>Hecho que habilita la transición</w:t>
            </w:r>
          </w:p>
        </w:tc>
      </w:tr>
      <w:tr>
        <w:trPr>
          <w:cantSplit/>
        </w:trPr>
        <w:tc>
          <w:tcPr>
            <w:tcW w:type="dxa" w:w="4020"/>
            <w:vAlign w:val="center"/>
            <w:tcMar>
              <w:top w:w="85" w:type="dxa"/>
              <w:left w:w="85" w:type="dxa"/>
              <w:bottom w:w="85" w:type="dxa"/>
              <w:right w:w="85" w:type="dxa"/>
            </w:tcMar>
          </w:tcPr>
          <w:p>
            <w:pPr>
              <w:spacing w:before="40" w:after="60" w:line="240" w:lineRule="auto"/>
            </w:pPr>
            <w:r>
              <w:rPr>
                <w:b w:val="0"/>
                <w:color w:val="000000"/>
                <w:sz w:val="22"/>
              </w:rPr>
              <w:t>Asignada</w:t>
            </w:r>
          </w:p>
        </w:tc>
        <w:tc>
          <w:tcPr>
            <w:tcW w:type="dxa" w:w="5504"/>
            <w:vAlign w:val="center"/>
            <w:tcMar>
              <w:top w:w="85" w:type="dxa"/>
              <w:left w:w="85" w:type="dxa"/>
              <w:bottom w:w="85" w:type="dxa"/>
              <w:right w:w="85" w:type="dxa"/>
            </w:tcMar>
          </w:tcPr>
          <w:p>
            <w:pPr>
              <w:spacing w:before="40" w:after="60" w:line="240" w:lineRule="auto"/>
            </w:pPr>
            <w:r>
              <w:rPr>
                <w:b w:val="0"/>
                <w:color w:val="000000"/>
                <w:sz w:val="22"/>
              </w:rPr>
              <w:t>OT preparada por Autorizador con Técnico y encargo</w:t>
            </w:r>
          </w:p>
        </w:tc>
      </w:tr>
      <w:tr>
        <w:trPr>
          <w:cantSplit/>
        </w:trPr>
        <w:tc>
          <w:tcPr>
            <w:tcW w:type="dxa" w:w="4020"/>
            <w:vAlign w:val="center"/>
            <w:tcMar>
              <w:top w:w="85" w:type="dxa"/>
              <w:left w:w="85" w:type="dxa"/>
              <w:bottom w:w="85" w:type="dxa"/>
              <w:right w:w="85" w:type="dxa"/>
            </w:tcMar>
            <w:shd w:fill="F1F5F8"/>
          </w:tcPr>
          <w:p>
            <w:pPr>
              <w:spacing w:before="40" w:after="60" w:line="240" w:lineRule="auto"/>
            </w:pPr>
            <w:r>
              <w:rPr>
                <w:b w:val="0"/>
                <w:color w:val="000000"/>
                <w:sz w:val="22"/>
              </w:rPr>
              <w:t>En proceso de despacho</w:t>
            </w:r>
          </w:p>
        </w:tc>
        <w:tc>
          <w:tcPr>
            <w:tcW w:type="dxa" w:w="5504"/>
            <w:vAlign w:val="center"/>
            <w:tcMar>
              <w:top w:w="85" w:type="dxa"/>
              <w:left w:w="85" w:type="dxa"/>
              <w:bottom w:w="85" w:type="dxa"/>
              <w:right w:w="85" w:type="dxa"/>
            </w:tcMar>
            <w:shd w:fill="F1F5F8"/>
          </w:tcPr>
          <w:p>
            <w:pPr>
              <w:spacing w:before="40" w:after="60" w:line="240" w:lineRule="auto"/>
            </w:pPr>
            <w:r>
              <w:rPr>
                <w:b w:val="0"/>
                <w:color w:val="000000"/>
                <w:sz w:val="22"/>
              </w:rPr>
              <w:t>Retiro registrado por Técnico con peso y fotografía</w:t>
            </w:r>
          </w:p>
        </w:tc>
      </w:tr>
      <w:tr>
        <w:trPr>
          <w:cantSplit/>
        </w:trPr>
        <w:tc>
          <w:tcPr>
            <w:tcW w:type="dxa" w:w="4020"/>
            <w:vAlign w:val="center"/>
            <w:tcMar>
              <w:top w:w="85" w:type="dxa"/>
              <w:left w:w="85" w:type="dxa"/>
              <w:bottom w:w="85" w:type="dxa"/>
              <w:right w:w="85" w:type="dxa"/>
            </w:tcMar>
          </w:tcPr>
          <w:p>
            <w:pPr>
              <w:spacing w:before="40" w:after="60" w:line="240" w:lineRule="auto"/>
            </w:pPr>
            <w:r>
              <w:rPr>
                <w:b w:val="0"/>
                <w:color w:val="000000"/>
                <w:sz w:val="22"/>
              </w:rPr>
              <w:t>En terreno</w:t>
            </w:r>
          </w:p>
        </w:tc>
        <w:tc>
          <w:tcPr>
            <w:tcW w:type="dxa" w:w="5504"/>
            <w:vAlign w:val="center"/>
            <w:tcMar>
              <w:top w:w="85" w:type="dxa"/>
              <w:left w:w="85" w:type="dxa"/>
              <w:bottom w:w="85" w:type="dxa"/>
              <w:right w:w="85" w:type="dxa"/>
            </w:tcMar>
          </w:tcPr>
          <w:p>
            <w:pPr>
              <w:spacing w:before="40" w:after="60" w:line="240" w:lineRule="auto"/>
            </w:pPr>
            <w:r>
              <w:rPr>
                <w:b w:val="0"/>
                <w:color w:val="000000"/>
                <w:sz w:val="22"/>
              </w:rPr>
              <w:t>Operación de reemplazo o agregado registrada</w:t>
            </w:r>
          </w:p>
        </w:tc>
      </w:tr>
      <w:tr>
        <w:trPr>
          <w:cantSplit/>
        </w:trPr>
        <w:tc>
          <w:tcPr>
            <w:tcW w:type="dxa" w:w="4020"/>
            <w:vAlign w:val="center"/>
            <w:tcMar>
              <w:top w:w="85" w:type="dxa"/>
              <w:left w:w="85" w:type="dxa"/>
              <w:bottom w:w="85" w:type="dxa"/>
              <w:right w:w="85" w:type="dxa"/>
            </w:tcMar>
            <w:shd w:fill="F1F5F8"/>
          </w:tcPr>
          <w:p>
            <w:pPr>
              <w:spacing w:before="40" w:after="60" w:line="240" w:lineRule="auto"/>
            </w:pPr>
            <w:r>
              <w:rPr>
                <w:b w:val="0"/>
                <w:color w:val="000000"/>
                <w:sz w:val="22"/>
              </w:rPr>
              <w:t>Pendiente de aprobación de Bodega</w:t>
            </w:r>
          </w:p>
        </w:tc>
        <w:tc>
          <w:tcPr>
            <w:tcW w:type="dxa" w:w="5504"/>
            <w:vAlign w:val="center"/>
            <w:tcMar>
              <w:top w:w="85" w:type="dxa"/>
              <w:left w:w="85" w:type="dxa"/>
              <w:bottom w:w="85" w:type="dxa"/>
              <w:right w:w="85" w:type="dxa"/>
            </w:tcMar>
            <w:shd w:fill="F1F5F8"/>
          </w:tcPr>
          <w:p>
            <w:pPr>
              <w:spacing w:before="40" w:after="60" w:line="240" w:lineRule="auto"/>
            </w:pPr>
            <w:r>
              <w:rPr>
                <w:b w:val="0"/>
                <w:color w:val="000000"/>
                <w:sz w:val="22"/>
              </w:rPr>
              <w:t>Término técnico informado</w:t>
            </w:r>
          </w:p>
        </w:tc>
      </w:tr>
      <w:tr>
        <w:trPr>
          <w:cantSplit/>
        </w:trPr>
        <w:tc>
          <w:tcPr>
            <w:tcW w:type="dxa" w:w="4020"/>
            <w:vAlign w:val="center"/>
            <w:tcMar>
              <w:top w:w="85" w:type="dxa"/>
              <w:left w:w="85" w:type="dxa"/>
              <w:bottom w:w="85" w:type="dxa"/>
              <w:right w:w="85" w:type="dxa"/>
            </w:tcMar>
          </w:tcPr>
          <w:p>
            <w:pPr>
              <w:keepNext/>
              <w:spacing w:before="40" w:after="60" w:line="240" w:lineRule="auto"/>
            </w:pPr>
            <w:r>
              <w:rPr>
                <w:b w:val="0"/>
                <w:color w:val="000000"/>
                <w:sz w:val="22"/>
              </w:rPr>
              <w:t>Pendiente de revisión del Autorizador</w:t>
            </w:r>
          </w:p>
        </w:tc>
        <w:tc>
          <w:tcPr>
            <w:tcW w:type="dxa" w:w="5504"/>
            <w:vAlign w:val="center"/>
            <w:tcMar>
              <w:top w:w="85" w:type="dxa"/>
              <w:left w:w="85" w:type="dxa"/>
              <w:bottom w:w="85" w:type="dxa"/>
              <w:right w:w="85" w:type="dxa"/>
            </w:tcMar>
          </w:tcPr>
          <w:p>
            <w:pPr>
              <w:keepNext/>
              <w:spacing w:before="40" w:after="60" w:line="240" w:lineRule="auto"/>
            </w:pPr>
            <w:r>
              <w:rPr>
                <w:b w:val="0"/>
                <w:color w:val="000000"/>
                <w:sz w:val="22"/>
              </w:rPr>
              <w:t>Recepciones y aprobación de Bodega registradas</w:t>
            </w:r>
          </w:p>
        </w:tc>
      </w:tr>
      <w:tr>
        <w:trPr>
          <w:cantSplit/>
        </w:trPr>
        <w:tc>
          <w:tcPr>
            <w:tcW w:type="dxa" w:w="4020"/>
            <w:vAlign w:val="center"/>
            <w:tcMar>
              <w:top w:w="85" w:type="dxa"/>
              <w:left w:w="85" w:type="dxa"/>
              <w:bottom w:w="85" w:type="dxa"/>
              <w:right w:w="85" w:type="dxa"/>
            </w:tcMar>
            <w:shd w:fill="F1F5F8"/>
          </w:tcPr>
          <w:p>
            <w:pPr>
              <w:spacing w:before="40" w:after="60" w:line="240" w:lineRule="auto"/>
            </w:pPr>
            <w:r>
              <w:rPr>
                <w:b w:val="0"/>
                <w:color w:val="000000"/>
                <w:sz w:val="22"/>
              </w:rPr>
              <w:t>Cerrada</w:t>
            </w:r>
          </w:p>
        </w:tc>
        <w:tc>
          <w:tcPr>
            <w:tcW w:type="dxa" w:w="5504"/>
            <w:vAlign w:val="center"/>
            <w:tcMar>
              <w:top w:w="85" w:type="dxa"/>
              <w:left w:w="85" w:type="dxa"/>
              <w:bottom w:w="85" w:type="dxa"/>
              <w:right w:w="85" w:type="dxa"/>
            </w:tcMar>
            <w:shd w:fill="F1F5F8"/>
          </w:tcPr>
          <w:p>
            <w:pPr>
              <w:spacing w:before="40" w:after="60" w:line="240" w:lineRule="auto"/>
            </w:pPr>
            <w:r>
              <w:rPr>
                <w:b w:val="0"/>
                <w:color w:val="000000"/>
                <w:sz w:val="22"/>
              </w:rPr>
              <w:t>Revisión final y cierre por Autorizador sin pendientes impeditivos</w:t>
            </w:r>
          </w:p>
        </w:tc>
      </w:tr>
    </w:tbl>
    <w:p>
      <w:pPr>
        <w:spacing w:after="0"/>
      </w:pPr>
    </w:p>
    <w:p>
      <w:pPr>
        <w:pStyle w:val="Heading1"/>
      </w:pPr>
      <w:r>
        <w:t>3 Vista lógica</w:t>
      </w:r>
    </w:p>
    <w:p>
      <w:r>
        <w:t>El dominio diferencia el tipo de refrigerante del envase físico. Cada cilindro contiene un solo refrigerante, tiene una identidad estable y conserva tara, capacidad, ubicación, estado e historial de pesajes. La cantidad de gas se obtiene de una lectura válida, no de la capacidad nominal. La OT reúne un pedido por refrigerante y las operaciones físicas realizadas por su Técnico. [5] [6] [9]</w:t>
      </w:r>
    </w:p>
    <w:p>
      <w:r>
        <w:t>El modelo distingue pedido, despacho, operación de terreno, custodia y recepción. Esta separación permite recibir un cilindro retirado que no fue el mismo que salió de Bodega en esa OT y preservar la historia de una OT cuando un envase se reutiliza posteriormente. Las incidencias conservan la solicitud y su respuesta; no autorizan a sobrescribir libremente un pesaje confirmado.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62"/>
        <w:gridCol w:w="4762"/>
      </w:tblGrid>
      <w:tr>
        <w:trPr>
          <w:tblHeader/>
        </w:trPr>
        <w:tc>
          <w:tcPr>
            <w:tcW w:type="dxa" w:w="4541"/>
            <w:vAlign w:val="center"/>
            <w:tcMar>
              <w:top w:w="85" w:type="dxa"/>
              <w:left w:w="85" w:type="dxa"/>
              <w:bottom w:w="85" w:type="dxa"/>
              <w:right w:w="85" w:type="dxa"/>
            </w:tcMar>
            <w:shd w:fill="24445F"/>
          </w:tcPr>
          <w:p>
            <w:pPr>
              <w:keepNext/>
              <w:spacing w:before="40" w:after="60" w:line="240" w:lineRule="auto"/>
            </w:pPr>
            <w:r>
              <w:rPr>
                <w:b/>
                <w:color w:val="FFFFFF"/>
                <w:sz w:val="22"/>
              </w:rPr>
              <w:t>Conjunto de entidades</w:t>
            </w:r>
          </w:p>
        </w:tc>
        <w:tc>
          <w:tcPr>
            <w:tcW w:type="dxa" w:w="4984"/>
            <w:vAlign w:val="center"/>
            <w:tcMar>
              <w:top w:w="85" w:type="dxa"/>
              <w:left w:w="85" w:type="dxa"/>
              <w:bottom w:w="85" w:type="dxa"/>
              <w:right w:w="85" w:type="dxa"/>
            </w:tcMar>
            <w:shd w:fill="24445F"/>
          </w:tcPr>
          <w:p>
            <w:pPr>
              <w:keepNext/>
              <w:spacing w:before="40" w:after="60" w:line="240" w:lineRule="auto"/>
            </w:pPr>
            <w:r>
              <w:rPr>
                <w:b/>
                <w:color w:val="FFFFFF"/>
                <w:sz w:val="22"/>
              </w:rPr>
              <w:t>Responsabilidad y relación principal</w:t>
            </w:r>
          </w:p>
        </w:tc>
      </w:tr>
      <w:tr>
        <w:trPr>
          <w:cantSplit/>
        </w:trPr>
        <w:tc>
          <w:tcPr>
            <w:tcW w:type="dxa" w:w="4541"/>
            <w:vAlign w:val="center"/>
            <w:tcMar>
              <w:top w:w="85" w:type="dxa"/>
              <w:left w:w="85" w:type="dxa"/>
              <w:bottom w:w="85" w:type="dxa"/>
              <w:right w:w="85" w:type="dxa"/>
            </w:tcMar>
          </w:tcPr>
          <w:p>
            <w:pPr>
              <w:spacing w:before="40" w:after="60" w:line="240" w:lineRule="auto"/>
            </w:pPr>
            <w:r>
              <w:rPr>
                <w:b w:val="0"/>
                <w:color w:val="000000"/>
                <w:sz w:val="22"/>
              </w:rPr>
              <w:t>Rol y Usuario</w:t>
            </w:r>
          </w:p>
        </w:tc>
        <w:tc>
          <w:tcPr>
            <w:tcW w:type="dxa" w:w="4984"/>
            <w:vAlign w:val="center"/>
            <w:tcMar>
              <w:top w:w="85" w:type="dxa"/>
              <w:left w:w="85" w:type="dxa"/>
              <w:bottom w:w="85" w:type="dxa"/>
              <w:right w:w="85" w:type="dxa"/>
            </w:tcMar>
          </w:tcPr>
          <w:p>
            <w:pPr>
              <w:spacing w:before="40" w:after="60" w:line="240" w:lineRule="auto"/>
            </w:pPr>
            <w:r>
              <w:rPr>
                <w:b w:val="0"/>
                <w:color w:val="000000"/>
                <w:sz w:val="22"/>
              </w:rPr>
              <w:t>Identidad y rol del actor que ejecuta un hecho</w:t>
            </w:r>
          </w:p>
        </w:tc>
      </w:tr>
      <w:tr>
        <w:trPr>
          <w:cantSplit/>
        </w:trPr>
        <w:tc>
          <w:tcPr>
            <w:tcW w:type="dxa" w:w="4541"/>
            <w:vAlign w:val="center"/>
            <w:tcMar>
              <w:top w:w="85" w:type="dxa"/>
              <w:left w:w="85" w:type="dxa"/>
              <w:bottom w:w="85" w:type="dxa"/>
              <w:right w:w="85" w:type="dxa"/>
            </w:tcMar>
            <w:shd w:fill="F1F5F8"/>
          </w:tcPr>
          <w:p>
            <w:pPr>
              <w:spacing w:before="40" w:after="60" w:line="240" w:lineRule="auto"/>
            </w:pPr>
            <w:r>
              <w:rPr>
                <w:b w:val="0"/>
                <w:color w:val="000000"/>
                <w:sz w:val="22"/>
              </w:rPr>
              <w:t>Cliente y Sucursales</w:t>
            </w:r>
          </w:p>
        </w:tc>
        <w:tc>
          <w:tcPr>
            <w:tcW w:type="dxa" w:w="4984"/>
            <w:vAlign w:val="center"/>
            <w:tcMar>
              <w:top w:w="85" w:type="dxa"/>
              <w:left w:w="85" w:type="dxa"/>
              <w:bottom w:w="85" w:type="dxa"/>
              <w:right w:w="85" w:type="dxa"/>
            </w:tcMar>
            <w:shd w:fill="F1F5F8"/>
          </w:tcPr>
          <w:p>
            <w:pPr>
              <w:spacing w:before="40" w:after="60" w:line="240" w:lineRule="auto"/>
            </w:pPr>
            <w:r>
              <w:rPr>
                <w:b w:val="0"/>
                <w:color w:val="000000"/>
                <w:sz w:val="22"/>
              </w:rPr>
              <w:t>Organización del destino; una sucursal pertenece a un cliente</w:t>
            </w:r>
          </w:p>
        </w:tc>
      </w:tr>
      <w:tr>
        <w:trPr>
          <w:cantSplit/>
        </w:trPr>
        <w:tc>
          <w:tcPr>
            <w:tcW w:type="dxa" w:w="4541"/>
            <w:vAlign w:val="center"/>
            <w:tcMar>
              <w:top w:w="85" w:type="dxa"/>
              <w:left w:w="85" w:type="dxa"/>
              <w:bottom w:w="85" w:type="dxa"/>
              <w:right w:w="85" w:type="dxa"/>
            </w:tcMar>
          </w:tcPr>
          <w:p>
            <w:pPr>
              <w:spacing w:before="40" w:after="60" w:line="240" w:lineRule="auto"/>
            </w:pPr>
            <w:r>
              <w:rPr>
                <w:b w:val="0"/>
                <w:color w:val="000000"/>
                <w:sz w:val="22"/>
              </w:rPr>
              <w:t>Refrigerantes y Cilindros</w:t>
            </w:r>
          </w:p>
        </w:tc>
        <w:tc>
          <w:tcPr>
            <w:tcW w:type="dxa" w:w="4984"/>
            <w:vAlign w:val="center"/>
            <w:tcMar>
              <w:top w:w="85" w:type="dxa"/>
              <w:left w:w="85" w:type="dxa"/>
              <w:bottom w:w="85" w:type="dxa"/>
              <w:right w:w="85" w:type="dxa"/>
            </w:tcMar>
          </w:tcPr>
          <w:p>
            <w:pPr>
              <w:spacing w:before="40" w:after="60" w:line="240" w:lineRule="auto"/>
            </w:pPr>
            <w:r>
              <w:rPr>
                <w:b w:val="0"/>
                <w:color w:val="000000"/>
                <w:sz w:val="22"/>
              </w:rPr>
              <w:t>Un refrigerante puede asociarse a muchos cilindros; cada cilindro conserva un único tipo</w:t>
            </w:r>
          </w:p>
        </w:tc>
      </w:tr>
      <w:tr>
        <w:trPr>
          <w:cantSplit/>
        </w:trPr>
        <w:tc>
          <w:tcPr>
            <w:tcW w:type="dxa" w:w="4541"/>
            <w:vAlign w:val="center"/>
            <w:tcMar>
              <w:top w:w="85" w:type="dxa"/>
              <w:left w:w="85" w:type="dxa"/>
              <w:bottom w:w="85" w:type="dxa"/>
              <w:right w:w="85" w:type="dxa"/>
            </w:tcMar>
            <w:shd w:fill="F1F5F8"/>
          </w:tcPr>
          <w:p>
            <w:pPr>
              <w:spacing w:before="40" w:after="60" w:line="240" w:lineRule="auto"/>
            </w:pPr>
            <w:r>
              <w:rPr>
                <w:b w:val="0"/>
                <w:color w:val="000000"/>
                <w:sz w:val="22"/>
              </w:rPr>
              <w:t>OrdenTrabajo, DetalleOT y RetiroPrevisto</w:t>
            </w:r>
          </w:p>
        </w:tc>
        <w:tc>
          <w:tcPr>
            <w:tcW w:type="dxa" w:w="4984"/>
            <w:vAlign w:val="center"/>
            <w:tcMar>
              <w:top w:w="85" w:type="dxa"/>
              <w:left w:w="85" w:type="dxa"/>
              <w:bottom w:w="85" w:type="dxa"/>
              <w:right w:w="85" w:type="dxa"/>
            </w:tcMar>
            <w:shd w:fill="F1F5F8"/>
          </w:tcPr>
          <w:p>
            <w:pPr>
              <w:spacing w:before="40" w:after="60" w:line="240" w:lineRule="auto"/>
            </w:pPr>
            <w:r>
              <w:rPr>
                <w:b w:val="0"/>
                <w:color w:val="000000"/>
                <w:sz w:val="22"/>
              </w:rPr>
              <w:t>Pedido por refrigerante, cantidades solicitadas y autorizadas, técnico y retiros de sucursal previstos</w:t>
            </w:r>
          </w:p>
        </w:tc>
      </w:tr>
      <w:tr>
        <w:trPr>
          <w:cantSplit/>
        </w:trPr>
        <w:tc>
          <w:tcPr>
            <w:tcW w:type="dxa" w:w="4541"/>
            <w:vAlign w:val="center"/>
            <w:tcMar>
              <w:top w:w="85" w:type="dxa"/>
              <w:left w:w="85" w:type="dxa"/>
              <w:bottom w:w="85" w:type="dxa"/>
              <w:right w:w="85" w:type="dxa"/>
            </w:tcMar>
          </w:tcPr>
          <w:p>
            <w:pPr>
              <w:spacing w:before="40" w:after="60" w:line="240" w:lineRule="auto"/>
            </w:pPr>
            <w:r>
              <w:rPr>
                <w:b w:val="0"/>
                <w:color w:val="000000"/>
                <w:sz w:val="22"/>
              </w:rPr>
              <w:t>Despacho, OperacionTerreno y CustodiaActual</w:t>
            </w:r>
          </w:p>
        </w:tc>
        <w:tc>
          <w:tcPr>
            <w:tcW w:type="dxa" w:w="4984"/>
            <w:vAlign w:val="center"/>
            <w:tcMar>
              <w:top w:w="85" w:type="dxa"/>
              <w:left w:w="85" w:type="dxa"/>
              <w:bottom w:w="85" w:type="dxa"/>
              <w:right w:w="85" w:type="dxa"/>
            </w:tcMar>
          </w:tcPr>
          <w:p>
            <w:pPr>
              <w:spacing w:before="40" w:after="60" w:line="240" w:lineRule="auto"/>
            </w:pPr>
            <w:r>
              <w:rPr>
                <w:b w:val="0"/>
                <w:color w:val="000000"/>
                <w:sz w:val="22"/>
              </w:rPr>
              <w:t>Salida del técnico, reemplazo o agregado y responsable físico vigente</w:t>
            </w:r>
          </w:p>
        </w:tc>
      </w:tr>
      <w:tr>
        <w:trPr>
          <w:cantSplit/>
        </w:trPr>
        <w:tc>
          <w:tcPr>
            <w:tcW w:type="dxa" w:w="4541"/>
            <w:vAlign w:val="center"/>
            <w:tcMar>
              <w:top w:w="85" w:type="dxa"/>
              <w:left w:w="85" w:type="dxa"/>
              <w:bottom w:w="85" w:type="dxa"/>
              <w:right w:w="85" w:type="dxa"/>
            </w:tcMar>
            <w:shd w:fill="F1F5F8"/>
          </w:tcPr>
          <w:p>
            <w:pPr>
              <w:keepNext/>
              <w:spacing w:before="40" w:after="60" w:line="240" w:lineRule="auto"/>
            </w:pPr>
            <w:r>
              <w:rPr>
                <w:b w:val="0"/>
                <w:color w:val="000000"/>
                <w:sz w:val="22"/>
              </w:rPr>
              <w:t>Pesaje, EvidenciaPesaje y RecepcionBodega</w:t>
            </w:r>
          </w:p>
        </w:tc>
        <w:tc>
          <w:tcPr>
            <w:tcW w:type="dxa" w:w="4984"/>
            <w:vAlign w:val="center"/>
            <w:tcMar>
              <w:top w:w="85" w:type="dxa"/>
              <w:left w:w="85" w:type="dxa"/>
              <w:bottom w:w="85" w:type="dxa"/>
              <w:right w:w="85" w:type="dxa"/>
            </w:tcMar>
            <w:shd w:fill="F1F5F8"/>
          </w:tcPr>
          <w:p>
            <w:pPr>
              <w:keepNext/>
              <w:spacing w:before="40" w:after="60" w:line="240" w:lineRule="auto"/>
            </w:pPr>
            <w:r>
              <w:rPr>
                <w:b w:val="0"/>
                <w:color w:val="000000"/>
                <w:sz w:val="22"/>
              </w:rPr>
              <w:t>Lecturas por etapa, evidencia privada y recepción oficial independiente</w:t>
            </w:r>
          </w:p>
        </w:tc>
      </w:tr>
      <w:tr>
        <w:trPr>
          <w:cantSplit/>
        </w:trPr>
        <w:tc>
          <w:tcPr>
            <w:tcW w:type="dxa" w:w="4541"/>
            <w:vAlign w:val="center"/>
            <w:tcMar>
              <w:top w:w="85" w:type="dxa"/>
              <w:left w:w="85" w:type="dxa"/>
              <w:bottom w:w="85" w:type="dxa"/>
              <w:right w:w="85" w:type="dxa"/>
            </w:tcMar>
          </w:tcPr>
          <w:p>
            <w:pPr>
              <w:spacing w:before="40" w:after="60" w:line="240" w:lineRule="auto"/>
            </w:pPr>
            <w:r>
              <w:rPr>
                <w:b w:val="0"/>
                <w:color w:val="000000"/>
                <w:sz w:val="22"/>
              </w:rPr>
              <w:t>RevisionOT, Incidencia, HistorialCilindro y EventoOT</w:t>
            </w:r>
          </w:p>
        </w:tc>
        <w:tc>
          <w:tcPr>
            <w:tcW w:type="dxa" w:w="4984"/>
            <w:vAlign w:val="center"/>
            <w:tcMar>
              <w:top w:w="85" w:type="dxa"/>
              <w:left w:w="85" w:type="dxa"/>
              <w:bottom w:w="85" w:type="dxa"/>
              <w:right w:w="85" w:type="dxa"/>
            </w:tcMar>
          </w:tcPr>
          <w:p>
            <w:pPr>
              <w:spacing w:before="40" w:after="60" w:line="240" w:lineRule="auto"/>
            </w:pPr>
            <w:r>
              <w:rPr>
                <w:b w:val="0"/>
                <w:color w:val="000000"/>
                <w:sz w:val="22"/>
              </w:rPr>
              <w:t>Orden de aprobaciones y conservación de los hechos operativos</w:t>
            </w:r>
          </w:p>
        </w:tc>
      </w:tr>
    </w:tbl>
    <w:p>
      <w:pPr>
        <w:spacing w:after="0"/>
      </w:pPr>
    </w:p>
    <w:p>
      <w:pPr>
        <w:pStyle w:val="Heading1"/>
      </w:pPr>
      <w:r>
        <w:t>4 Vista de desarrollo</w:t>
      </w:r>
    </w:p>
    <w:p>
      <w:r>
        <w:t>La solución vigente es AFRISAN_NUEVO/03_CODIGO/Afrisan.Nuevo.slnx; la solución de la raíz AFRISAN.slnx abre esos proyectos. Afrisan.Nuevo.Web contiene la interfaz Blazor y los servicios clientes. Afrisan.Nuevo.Api concentra los puntos de acceso, las validaciones y los almacenes de datos. Afrisan.Nuevo.Contratos comparte los modelos de solicitud y respuesta para evitar contratos divergentes. [2] [3] [7]</w:t>
      </w:r>
    </w:p>
    <w:p>
      <w:r>
        <w:t>Program.cs registra InventarioStore y TrabajoStore como servicios singleton en memoria y rechaza un inicio fuera de Development. Por tanto, no existe un repositorio EF Core conectado en la ejecución actual. El adaptador persistente debe implementar las mismas reglas, mapear identificadores y coordinar transacciones antes de presentar PostgreSQL/Supabase como almacenamiento de la aplicación. [3]</w:t>
      </w:r>
    </w:p>
    <w:p>
      <w:r>
        <w:t>TrabajoLocalService coordina borradores y fotografías mediante IndexedDB, separa la caché de consultas por usuario e instancia y conserva los pendientes si la API se reinicia. UUID estables y versiones detectan ciertos reintentos y conflictos. La presencia de este mecanismo no demuestra por sí sola inicio sin red, sincronización segura entre dispositivos ni recuperación completa ante todas las fallas. [7]</w:t>
      </w:r>
    </w:p>
    <w:p>
      <w:r>
        <w:t>La alternativa anterior de un segundo cliente .NET MAUI con SQLite permanece como antecedente de arquitectura. La aplicación nueva implementa un cliente web con IndexedDB. No se presenta un cliente MAUI terminado ni se cambia .NET 8 por .NET 10.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75"/>
        <w:gridCol w:w="3175"/>
        <w:gridCol w:w="3175"/>
      </w:tblGrid>
      <w:tr>
        <w:trPr>
          <w:tblHeader/>
        </w:trPr>
        <w:tc>
          <w:tcPr>
            <w:tcW w:type="dxa" w:w="2014"/>
            <w:vAlign w:val="center"/>
            <w:tcMar>
              <w:top w:w="85" w:type="dxa"/>
              <w:left w:w="85" w:type="dxa"/>
              <w:bottom w:w="85" w:type="dxa"/>
              <w:right w:w="85" w:type="dxa"/>
            </w:tcMar>
            <w:shd w:fill="24445F"/>
          </w:tcPr>
          <w:p>
            <w:pPr>
              <w:keepNext/>
              <w:spacing w:before="40" w:after="60" w:line="240" w:lineRule="auto"/>
            </w:pPr>
            <w:r>
              <w:rPr>
                <w:b/>
                <w:color w:val="FFFFFF"/>
                <w:sz w:val="22"/>
              </w:rPr>
              <w:t>Componente</w:t>
            </w:r>
          </w:p>
        </w:tc>
        <w:tc>
          <w:tcPr>
            <w:tcW w:type="dxa" w:w="3755"/>
            <w:vAlign w:val="center"/>
            <w:tcMar>
              <w:top w:w="85" w:type="dxa"/>
              <w:left w:w="85" w:type="dxa"/>
              <w:bottom w:w="85" w:type="dxa"/>
              <w:right w:w="85" w:type="dxa"/>
            </w:tcMar>
            <w:shd w:fill="24445F"/>
          </w:tcPr>
          <w:p>
            <w:pPr>
              <w:keepNext/>
              <w:spacing w:before="40" w:after="60" w:line="240" w:lineRule="auto"/>
            </w:pPr>
            <w:r>
              <w:rPr>
                <w:b/>
                <w:color w:val="FFFFFF"/>
                <w:sz w:val="22"/>
              </w:rPr>
              <w:t>Archivo o ruta de referencia</w:t>
            </w:r>
          </w:p>
        </w:tc>
        <w:tc>
          <w:tcPr>
            <w:tcW w:type="dxa" w:w="3755"/>
            <w:vAlign w:val="center"/>
            <w:tcMar>
              <w:top w:w="85" w:type="dxa"/>
              <w:left w:w="85" w:type="dxa"/>
              <w:bottom w:w="85" w:type="dxa"/>
              <w:right w:w="85" w:type="dxa"/>
            </w:tcMar>
            <w:shd w:fill="24445F"/>
          </w:tcPr>
          <w:p>
            <w:pPr>
              <w:keepNext/>
              <w:spacing w:before="40" w:after="60" w:line="240" w:lineRule="auto"/>
            </w:pPr>
            <w:r>
              <w:rPr>
                <w:b/>
                <w:color w:val="FFFFFF"/>
                <w:sz w:val="22"/>
              </w:rPr>
              <w:t>Estado</w:t>
            </w:r>
          </w:p>
        </w:tc>
      </w:tr>
      <w:tr>
        <w:trPr>
          <w:cantSplit/>
        </w:trPr>
        <w:tc>
          <w:tcPr>
            <w:tcW w:type="dxa" w:w="2014"/>
            <w:vAlign w:val="center"/>
            <w:tcMar>
              <w:top w:w="85" w:type="dxa"/>
              <w:left w:w="85" w:type="dxa"/>
              <w:bottom w:w="85" w:type="dxa"/>
              <w:right w:w="85" w:type="dxa"/>
            </w:tcMar>
          </w:tcPr>
          <w:p>
            <w:pPr>
              <w:spacing w:before="40" w:after="60" w:line="240" w:lineRule="auto"/>
            </w:pPr>
            <w:r>
              <w:rPr>
                <w:b w:val="0"/>
                <w:color w:val="000000"/>
                <w:sz w:val="22"/>
              </w:rPr>
              <w:t>Interfaz</w:t>
            </w:r>
          </w:p>
        </w:tc>
        <w:tc>
          <w:tcPr>
            <w:tcW w:type="dxa" w:w="3755"/>
            <w:vAlign w:val="center"/>
            <w:tcMar>
              <w:top w:w="85" w:type="dxa"/>
              <w:left w:w="85" w:type="dxa"/>
              <w:bottom w:w="85" w:type="dxa"/>
              <w:right w:w="85" w:type="dxa"/>
            </w:tcMar>
          </w:tcPr>
          <w:p>
            <w:pPr>
              <w:spacing w:before="40" w:after="60" w:line="240" w:lineRule="auto"/>
            </w:pPr>
            <w:r>
              <w:rPr>
                <w:b w:val="0"/>
                <w:color w:val="000000"/>
                <w:sz w:val="22"/>
              </w:rPr>
              <w:t>Afrisan.Nuevo.Web</w:t>
            </w:r>
          </w:p>
        </w:tc>
        <w:tc>
          <w:tcPr>
            <w:tcW w:type="dxa" w:w="3755"/>
            <w:vAlign w:val="center"/>
            <w:tcMar>
              <w:top w:w="85" w:type="dxa"/>
              <w:left w:w="85" w:type="dxa"/>
              <w:bottom w:w="85" w:type="dxa"/>
              <w:right w:w="85" w:type="dxa"/>
            </w:tcMar>
          </w:tcPr>
          <w:p>
            <w:pPr>
              <w:spacing w:before="40" w:after="60" w:line="240" w:lineRule="auto"/>
            </w:pPr>
            <w:r>
              <w:rPr>
                <w:b w:val="0"/>
                <w:color w:val="000000"/>
                <w:sz w:val="22"/>
              </w:rPr>
              <w:t>Implementada para revisión local</w:t>
            </w:r>
          </w:p>
        </w:tc>
      </w:tr>
      <w:tr>
        <w:trPr>
          <w:cantSplit/>
        </w:trPr>
        <w:tc>
          <w:tcPr>
            <w:tcW w:type="dxa" w:w="2014"/>
            <w:vAlign w:val="center"/>
            <w:tcMar>
              <w:top w:w="85" w:type="dxa"/>
              <w:left w:w="85" w:type="dxa"/>
              <w:bottom w:w="85" w:type="dxa"/>
              <w:right w:w="85" w:type="dxa"/>
            </w:tcMar>
            <w:shd w:fill="F1F5F8"/>
          </w:tcPr>
          <w:p>
            <w:pPr>
              <w:spacing w:before="40" w:after="60" w:line="240" w:lineRule="auto"/>
            </w:pPr>
            <w:r>
              <w:rPr>
                <w:b w:val="0"/>
                <w:color w:val="000000"/>
                <w:sz w:val="22"/>
              </w:rPr>
              <w:t>API REST</w:t>
            </w:r>
          </w:p>
        </w:tc>
        <w:tc>
          <w:tcPr>
            <w:tcW w:type="dxa" w:w="3755"/>
            <w:vAlign w:val="center"/>
            <w:tcMar>
              <w:top w:w="85" w:type="dxa"/>
              <w:left w:w="85" w:type="dxa"/>
              <w:bottom w:w="85" w:type="dxa"/>
              <w:right w:w="85" w:type="dxa"/>
            </w:tcMar>
            <w:shd w:fill="F1F5F8"/>
          </w:tcPr>
          <w:p>
            <w:pPr>
              <w:spacing w:before="40" w:after="60" w:line="240" w:lineRule="auto"/>
            </w:pPr>
            <w:r>
              <w:rPr>
                <w:b w:val="0"/>
                <w:color w:val="000000"/>
                <w:sz w:val="22"/>
              </w:rPr>
              <w:t>Afrisan.Nuevo.Api/InventarioEndpoints.cs y TrabajoEndpoints.cs</w:t>
            </w:r>
          </w:p>
        </w:tc>
        <w:tc>
          <w:tcPr>
            <w:tcW w:type="dxa" w:w="3755"/>
            <w:vAlign w:val="center"/>
            <w:tcMar>
              <w:top w:w="85" w:type="dxa"/>
              <w:left w:w="85" w:type="dxa"/>
              <w:bottom w:w="85" w:type="dxa"/>
              <w:right w:w="85" w:type="dxa"/>
            </w:tcMar>
            <w:shd w:fill="F1F5F8"/>
          </w:tcPr>
          <w:p>
            <w:pPr>
              <w:spacing w:before="40" w:after="60" w:line="240" w:lineRule="auto"/>
            </w:pPr>
            <w:r>
              <w:rPr>
                <w:b w:val="0"/>
                <w:color w:val="000000"/>
                <w:sz w:val="22"/>
              </w:rPr>
              <w:t>Implementada con reglas en servidor</w:t>
            </w:r>
          </w:p>
        </w:tc>
      </w:tr>
      <w:tr>
        <w:trPr>
          <w:cantSplit/>
        </w:trPr>
        <w:tc>
          <w:tcPr>
            <w:tcW w:type="dxa" w:w="2014"/>
            <w:vAlign w:val="center"/>
            <w:tcMar>
              <w:top w:w="85" w:type="dxa"/>
              <w:left w:w="85" w:type="dxa"/>
              <w:bottom w:w="85" w:type="dxa"/>
              <w:right w:w="85" w:type="dxa"/>
            </w:tcMar>
          </w:tcPr>
          <w:p>
            <w:pPr>
              <w:spacing w:before="40" w:after="60" w:line="240" w:lineRule="auto"/>
            </w:pPr>
            <w:r>
              <w:rPr>
                <w:b w:val="0"/>
                <w:color w:val="000000"/>
                <w:sz w:val="22"/>
              </w:rPr>
              <w:t>Contratos</w:t>
            </w:r>
          </w:p>
        </w:tc>
        <w:tc>
          <w:tcPr>
            <w:tcW w:type="dxa" w:w="3755"/>
            <w:vAlign w:val="center"/>
            <w:tcMar>
              <w:top w:w="85" w:type="dxa"/>
              <w:left w:w="85" w:type="dxa"/>
              <w:bottom w:w="85" w:type="dxa"/>
              <w:right w:w="85" w:type="dxa"/>
            </w:tcMar>
          </w:tcPr>
          <w:p>
            <w:pPr>
              <w:spacing w:before="40" w:after="60" w:line="240" w:lineRule="auto"/>
            </w:pPr>
            <w:r>
              <w:rPr>
                <w:b w:val="0"/>
                <w:color w:val="000000"/>
                <w:sz w:val="22"/>
              </w:rPr>
              <w:t>Afrisan.Nuevo.Contratos/Inventario.cs y TrabajoTecnico.cs</w:t>
            </w:r>
          </w:p>
        </w:tc>
        <w:tc>
          <w:tcPr>
            <w:tcW w:type="dxa" w:w="3755"/>
            <w:vAlign w:val="center"/>
            <w:tcMar>
              <w:top w:w="85" w:type="dxa"/>
              <w:left w:w="85" w:type="dxa"/>
              <w:bottom w:w="85" w:type="dxa"/>
              <w:right w:w="85" w:type="dxa"/>
            </w:tcMar>
          </w:tcPr>
          <w:p>
            <w:pPr>
              <w:spacing w:before="40" w:after="60" w:line="240" w:lineRule="auto"/>
            </w:pPr>
            <w:r>
              <w:rPr>
                <w:b w:val="0"/>
                <w:color w:val="000000"/>
                <w:sz w:val="22"/>
              </w:rPr>
              <w:t>Compartidos entre Web y API</w:t>
            </w:r>
          </w:p>
        </w:tc>
      </w:tr>
      <w:tr>
        <w:trPr>
          <w:cantSplit/>
        </w:trPr>
        <w:tc>
          <w:tcPr>
            <w:tcW w:type="dxa" w:w="2014"/>
            <w:vAlign w:val="center"/>
            <w:tcMar>
              <w:top w:w="85" w:type="dxa"/>
              <w:left w:w="85" w:type="dxa"/>
              <w:bottom w:w="85" w:type="dxa"/>
              <w:right w:w="85" w:type="dxa"/>
            </w:tcMar>
            <w:shd w:fill="F1F5F8"/>
          </w:tcPr>
          <w:p>
            <w:pPr>
              <w:spacing w:before="40" w:after="60" w:line="240" w:lineRule="auto"/>
            </w:pPr>
            <w:r>
              <w:rPr>
                <w:b w:val="0"/>
                <w:color w:val="000000"/>
                <w:sz w:val="22"/>
              </w:rPr>
              <w:t>Persistencia temporal</w:t>
            </w:r>
          </w:p>
        </w:tc>
        <w:tc>
          <w:tcPr>
            <w:tcW w:type="dxa" w:w="3755"/>
            <w:vAlign w:val="center"/>
            <w:tcMar>
              <w:top w:w="85" w:type="dxa"/>
              <w:left w:w="85" w:type="dxa"/>
              <w:bottom w:w="85" w:type="dxa"/>
              <w:right w:w="85" w:type="dxa"/>
            </w:tcMar>
            <w:shd w:fill="F1F5F8"/>
          </w:tcPr>
          <w:p>
            <w:pPr>
              <w:spacing w:before="40" w:after="60" w:line="240" w:lineRule="auto"/>
            </w:pPr>
            <w:r>
              <w:rPr>
                <w:b w:val="0"/>
                <w:color w:val="000000"/>
                <w:sz w:val="22"/>
              </w:rPr>
              <w:t>InventarioStore.cs y TrabajoStore.cs</w:t>
            </w:r>
          </w:p>
        </w:tc>
        <w:tc>
          <w:tcPr>
            <w:tcW w:type="dxa" w:w="3755"/>
            <w:vAlign w:val="center"/>
            <w:tcMar>
              <w:top w:w="85" w:type="dxa"/>
              <w:left w:w="85" w:type="dxa"/>
              <w:bottom w:w="85" w:type="dxa"/>
              <w:right w:w="85" w:type="dxa"/>
            </w:tcMar>
            <w:shd w:fill="F1F5F8"/>
          </w:tcPr>
          <w:p>
            <w:pPr>
              <w:spacing w:before="40" w:after="60" w:line="240" w:lineRule="auto"/>
            </w:pPr>
            <w:r>
              <w:rPr>
                <w:b w:val="0"/>
                <w:color w:val="000000"/>
                <w:sz w:val="22"/>
              </w:rPr>
              <w:t>Datos y fotos centrales en memoria</w:t>
            </w:r>
          </w:p>
        </w:tc>
      </w:tr>
      <w:tr>
        <w:trPr>
          <w:cantSplit/>
        </w:trPr>
        <w:tc>
          <w:tcPr>
            <w:tcW w:type="dxa" w:w="2014"/>
            <w:vAlign w:val="center"/>
            <w:tcMar>
              <w:top w:w="85" w:type="dxa"/>
              <w:left w:w="85" w:type="dxa"/>
              <w:bottom w:w="85" w:type="dxa"/>
              <w:right w:w="85" w:type="dxa"/>
            </w:tcMar>
          </w:tcPr>
          <w:p>
            <w:pPr>
              <w:keepNext/>
              <w:spacing w:before="40" w:after="60" w:line="240" w:lineRule="auto"/>
            </w:pPr>
            <w:r>
              <w:rPr>
                <w:b w:val="0"/>
                <w:color w:val="000000"/>
                <w:sz w:val="22"/>
              </w:rPr>
              <w:t>Trabajo local</w:t>
            </w:r>
          </w:p>
        </w:tc>
        <w:tc>
          <w:tcPr>
            <w:tcW w:type="dxa" w:w="3755"/>
            <w:vAlign w:val="center"/>
            <w:tcMar>
              <w:top w:w="85" w:type="dxa"/>
              <w:left w:w="85" w:type="dxa"/>
              <w:bottom w:w="85" w:type="dxa"/>
              <w:right w:w="85" w:type="dxa"/>
            </w:tcMar>
          </w:tcPr>
          <w:p>
            <w:pPr>
              <w:keepNext/>
              <w:spacing w:before="40" w:after="60" w:line="240" w:lineRule="auto"/>
            </w:pPr>
            <w:r>
              <w:rPr>
                <w:b w:val="0"/>
                <w:color w:val="000000"/>
                <w:sz w:val="22"/>
              </w:rPr>
              <w:t>Afrisan.Nuevo.Web/Services/TrabajoLocalService.cs</w:t>
            </w:r>
          </w:p>
        </w:tc>
        <w:tc>
          <w:tcPr>
            <w:tcW w:type="dxa" w:w="3755"/>
            <w:vAlign w:val="center"/>
            <w:tcMar>
              <w:top w:w="85" w:type="dxa"/>
              <w:left w:w="85" w:type="dxa"/>
              <w:bottom w:w="85" w:type="dxa"/>
              <w:right w:w="85" w:type="dxa"/>
            </w:tcMar>
          </w:tcPr>
          <w:p>
            <w:pPr>
              <w:keepNext/>
              <w:spacing w:before="40" w:after="60" w:line="240" w:lineRule="auto"/>
            </w:pPr>
            <w:r>
              <w:rPr>
                <w:b w:val="0"/>
                <w:color w:val="000000"/>
                <w:sz w:val="22"/>
              </w:rPr>
              <w:t>Borradores y reintentos; validación sin conexión integral pendiente</w:t>
            </w:r>
          </w:p>
        </w:tc>
      </w:tr>
      <w:tr>
        <w:trPr>
          <w:cantSplit/>
        </w:trPr>
        <w:tc>
          <w:tcPr>
            <w:tcW w:type="dxa" w:w="2014"/>
            <w:vAlign w:val="center"/>
            <w:tcMar>
              <w:top w:w="85" w:type="dxa"/>
              <w:left w:w="85" w:type="dxa"/>
              <w:bottom w:w="85" w:type="dxa"/>
              <w:right w:w="85" w:type="dxa"/>
            </w:tcMar>
            <w:shd w:fill="F1F5F8"/>
          </w:tcPr>
          <w:p>
            <w:pPr>
              <w:spacing w:before="40" w:after="60" w:line="240" w:lineRule="auto"/>
            </w:pPr>
            <w:r>
              <w:rPr>
                <w:b w:val="0"/>
                <w:color w:val="000000"/>
                <w:sz w:val="22"/>
              </w:rPr>
              <w:t>Persistencia de destino</w:t>
            </w:r>
          </w:p>
        </w:tc>
        <w:tc>
          <w:tcPr>
            <w:tcW w:type="dxa" w:w="3755"/>
            <w:vAlign w:val="center"/>
            <w:tcMar>
              <w:top w:w="85" w:type="dxa"/>
              <w:left w:w="85" w:type="dxa"/>
              <w:bottom w:w="85" w:type="dxa"/>
              <w:right w:w="85" w:type="dxa"/>
            </w:tcMar>
            <w:shd w:fill="F1F5F8"/>
          </w:tcPr>
          <w:p>
            <w:pPr>
              <w:spacing w:before="40" w:after="60" w:line="240" w:lineRule="auto"/>
            </w:pPr>
            <w:r>
              <w:rPr>
                <w:b w:val="0"/>
                <w:color w:val="000000"/>
                <w:sz w:val="22"/>
              </w:rPr>
              <w:t>02_BASE_DATOS/04_Crear_Afrisan_Contexto_Actual.sql</w:t>
            </w:r>
          </w:p>
        </w:tc>
        <w:tc>
          <w:tcPr>
            <w:tcW w:type="dxa" w:w="3755"/>
            <w:vAlign w:val="center"/>
            <w:tcMar>
              <w:top w:w="85" w:type="dxa"/>
              <w:left w:w="85" w:type="dxa"/>
              <w:bottom w:w="85" w:type="dxa"/>
              <w:right w:w="85" w:type="dxa"/>
            </w:tcMar>
            <w:shd w:fill="F1F5F8"/>
          </w:tcPr>
          <w:p>
            <w:pPr>
              <w:spacing w:before="40" w:after="60" w:line="240" w:lineRule="auto"/>
            </w:pPr>
            <w:r>
              <w:rPr>
                <w:b w:val="0"/>
                <w:color w:val="000000"/>
                <w:sz w:val="22"/>
              </w:rPr>
              <w:t>SQL validado localmente; no integrado a la API</w:t>
            </w:r>
          </w:p>
        </w:tc>
      </w:tr>
    </w:tbl>
    <w:p>
      <w:pPr>
        <w:spacing w:after="0"/>
      </w:pPr>
    </w:p>
    <w:p>
      <w:r>
        <w:drawing>
          <wp:inline xmlns:a="http://schemas.openxmlformats.org/drawingml/2006/main" xmlns:pic="http://schemas.openxmlformats.org/drawingml/2006/picture">
            <wp:extent cx="6048000" cy="2610189"/>
            <wp:docPr id="1" name="Picture 1"/>
            <wp:cNvGraphicFramePr>
              <a:graphicFrameLocks noChangeAspect="1"/>
            </wp:cNvGraphicFramePr>
            <a:graphic>
              <a:graphicData uri="http://schemas.openxmlformats.org/drawingml/2006/picture">
                <pic:pic>
                  <pic:nvPicPr>
                    <pic:cNvPr id="0" name="01_Arquitectura_Actual.png"/>
                    <pic:cNvPicPr/>
                  </pic:nvPicPr>
                  <pic:blipFill>
                    <a:blip r:embed="rId9"/>
                    <a:stretch>
                      <a:fillRect/>
                    </a:stretch>
                  </pic:blipFill>
                  <pic:spPr>
                    <a:xfrm>
                      <a:off x="0" y="0"/>
                      <a:ext cx="6048000" cy="2610189"/>
                    </a:xfrm>
                    <a:prstGeom prst="rect"/>
                  </pic:spPr>
                </pic:pic>
              </a:graphicData>
            </a:graphic>
          </wp:inline>
        </w:drawing>
      </w:r>
    </w:p>
    <w:p>
      <w:r>
        <w:t>Figura 1 Arquitectura de revisión y persistencia prevista</w:t>
      </w:r>
    </w:p>
    <w:p>
      <w:pPr>
        <w:pStyle w:val="Heading1"/>
      </w:pPr>
      <w:r>
        <w:t>5 Vista de procesos e integridad</w:t>
      </w:r>
    </w:p>
    <w:p>
      <w:r>
        <w:t>La API aplica restricciones de rol además de las restricciones visuales de cada pantalla. El retiro solo puede confirmarlo el Técnico asignado; Bodega no puede suplantarlo. Bodega recibe y aprueba antes de que el Autorizador acceda a las fotografías de salida y terreno para su revisión final. La confirmación comprueba la versión del borrador y rechaza operaciones que omitan las fotografías exigidas. [4] [10]</w:t>
      </w:r>
    </w:p>
    <w:p>
      <w:r>
        <w:t>El retiro exige una lectura física de salida; no reutiliza silenciosamente el peso inicial. Reintentar la misma operación con el mismo contenido no duplica su registro. Usar el mismo identificador con otro peso debe fallar. La recepción confirmada no se sobrescribe y los pendientes de envases e incidencias impiden el cierre según las reglas del prototipo.</w:t>
      </w:r>
    </w:p>
    <w:p>
      <w:r>
        <w:t>En el SQL de destino, retirar_cilindro agrupa salida, foto y custodia en una transacción. Se conservan restricciones, bloqueos e historial. Los ensayos locales fueron secuenciales en un motor embebido: faltan pruebas con dos sesiones simultáneas, aislamiento real del servidor destino, concurrencia entre técnicos y comportamiento bajo carga.</w:t>
      </w:r>
    </w:p>
    <w:p>
      <w:pPr>
        <w:pStyle w:val="Heading1"/>
      </w:pPr>
      <w:r>
        <w:t>6 Vista física y despliegue</w:t>
      </w:r>
    </w:p>
    <w:p>
      <w:r>
        <w:t>El entorno de demostración ejecuta la Web en localhost:5286 y la API en localhost:5181. El navegador consume la API y conserva borradores en IndexedDB; los registros centrales existen únicamente mientras continúa encendida la instancia de API. Reiniciarla borra los datos centrales y cambia su firma de sesiones. [2]</w:t>
      </w:r>
    </w:p>
    <w:p>
      <w:r>
        <w:t>El destino previsto mantiene una API de servidor, PostgreSQL/Supabase y almacenamiento privado durable de fotografías. Azure App Service figura como propuesta de despliegue en los antecedentes de arquitectura. Esta actualización no acredita aprovisionamiento de esos servicios, publicación en una URL pública, disponibilidad operativa ni integración con almacenamiento de archivos o Power BI.</w:t>
      </w:r>
    </w:p>
    <w:p>
      <w:pPr>
        <w:pStyle w:val="Heading1"/>
      </w:pPr>
      <w:r>
        <w:t>7 Vista de escenarios y evidencia</w:t>
      </w:r>
    </w:p>
    <w:p>
      <w:r>
        <w:t>El escenario principal fue ensayado el 25 de octubre con tres refrigerantes, nueve cilindros y tres OT cerradas por solicitudes HTTP. La ejecución 20261025-212141-bb482c registra 274 comprobaciones correctas y cero fallos. Incluye retiro del Técnico con foto, reemplazo, dos pesos de terreno, devolución, recepción, incidencia, aprobación de Bodega, revisión del Autorizador y cierre. Las comprobaciones incluyen solicitudes y validaciones de contenido; no equivalen a 274 escenarios independientes. [10]</w:t>
      </w:r>
    </w:p>
    <w:p>
      <w:r>
        <w:t>Un recorrido adicional completó OT-000004 desde formularios del navegador y dejó guardadas capturas e historial. Se utilizaron carga de archivos y conexión de red. Las fotografías de prueba están identificadas como sintéticas y no acreditan trabajos físicos ni lecturas de una balanza real.</w:t>
      </w:r>
    </w:p>
    <w:p>
      <w:r>
        <w:t>La ejecución anterior de 278 comprobaciones pertenece al flujo que registraba el despacho por Bodega. Se conserva como antecedente y no debe acumularse con las 274 para presentar una cobertura total del flujo vigente. Las 17 comprobaciones del 22 de octubre y sus capturas respaldan lectura de una imagen QR, descarga PNG, selección y ciertas regresiones; no acreditan cámara física.</w:t>
      </w:r>
    </w:p>
    <w:p>
      <w:pPr>
        <w:pStyle w:val="Heading1"/>
      </w:pPr>
      <w:r>
        <w:t>8 Modelo relacional del contexto actual</w:t>
      </w:r>
    </w:p>
    <w:p>
      <w:r>
        <w:t>El archivo 04_Crear_Afrisan_Contexto_Actual.sql crea afrisan_actual y afrisan_bi_actual con 31 tablas y nueve vistas. Instala una estructura vacía y no carga roles, usuarios, contraseñas ni ejemplos. No borra ni migra esquemas anteriores. La instalación se detiene si los nuevos esquemas ya existen. Los archivos 01, 02 y 03 se conservan como propuestas anteriores y no deben confundirse con el modelo del contexto actual. [9] [11]</w:t>
      </w:r>
    </w:p>
    <w:p>
      <w:r>
        <w:t>Se validó el paquete de forma aislada en PostgreSQL 18.6 embebido mediante PGlite 0.5.11. El resultado guardado registra 144 comprobaciones correctas, con tablas vacías, preservación de un esquema anterior, reemplazos, agregado, ejecución parcial, reutilización, roles, revisiones, límites, costos, emisiones y certificado. No se ejecutó el paquete en Supabase; esta prueba no demuestra permisos reales del servidor ni compatibilidad de la API persistente. [11]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62"/>
        <w:gridCol w:w="4762"/>
      </w:tblGrid>
      <w:tr>
        <w:trPr>
          <w:tblHeader/>
        </w:trPr>
        <w:tc>
          <w:tcPr>
            <w:tcW w:type="dxa" w:w="3385"/>
            <w:vAlign w:val="center"/>
            <w:tcMar>
              <w:top w:w="85" w:type="dxa"/>
              <w:left w:w="85" w:type="dxa"/>
              <w:bottom w:w="85" w:type="dxa"/>
              <w:right w:w="85" w:type="dxa"/>
            </w:tcMar>
            <w:shd w:fill="24445F"/>
          </w:tcPr>
          <w:p>
            <w:pPr>
              <w:keepNext/>
              <w:spacing w:before="40" w:after="60" w:line="240" w:lineRule="auto"/>
            </w:pPr>
            <w:r>
              <w:rPr>
                <w:b/>
                <w:color w:val="FFFFFF"/>
                <w:sz w:val="22"/>
              </w:rPr>
              <w:t>Área</w:t>
            </w:r>
          </w:p>
        </w:tc>
        <w:tc>
          <w:tcPr>
            <w:tcW w:type="dxa" w:w="6140"/>
            <w:vAlign w:val="center"/>
            <w:tcMar>
              <w:top w:w="85" w:type="dxa"/>
              <w:left w:w="85" w:type="dxa"/>
              <w:bottom w:w="85" w:type="dxa"/>
              <w:right w:w="85" w:type="dxa"/>
            </w:tcMar>
            <w:shd w:fill="24445F"/>
          </w:tcPr>
          <w:p>
            <w:pPr>
              <w:keepNext/>
              <w:spacing w:before="40" w:after="60" w:line="240" w:lineRule="auto"/>
            </w:pPr>
            <w:r>
              <w:rPr>
                <w:b/>
                <w:color w:val="FFFFFF"/>
                <w:sz w:val="22"/>
              </w:rPr>
              <w:t>Tablas incluidas</w:t>
            </w:r>
          </w:p>
        </w:tc>
      </w:tr>
      <w:tr>
        <w:trPr>
          <w:cantSplit/>
        </w:trPr>
        <w:tc>
          <w:tcPr>
            <w:tcW w:type="dxa" w:w="3385"/>
            <w:vAlign w:val="center"/>
            <w:tcMar>
              <w:top w:w="85" w:type="dxa"/>
              <w:left w:w="85" w:type="dxa"/>
              <w:bottom w:w="85" w:type="dxa"/>
              <w:right w:w="85" w:type="dxa"/>
            </w:tcMar>
          </w:tcPr>
          <w:p>
            <w:pPr>
              <w:spacing w:before="40" w:after="60" w:line="240" w:lineRule="auto"/>
            </w:pPr>
            <w:r>
              <w:rPr>
                <w:b w:val="0"/>
                <w:color w:val="000000"/>
                <w:sz w:val="22"/>
              </w:rPr>
              <w:t>Identidad y organización</w:t>
            </w:r>
          </w:p>
        </w:tc>
        <w:tc>
          <w:tcPr>
            <w:tcW w:type="dxa" w:w="6140"/>
            <w:vAlign w:val="center"/>
            <w:tcMar>
              <w:top w:w="85" w:type="dxa"/>
              <w:left w:w="85" w:type="dxa"/>
              <w:bottom w:w="85" w:type="dxa"/>
              <w:right w:w="85" w:type="dxa"/>
            </w:tcMar>
          </w:tcPr>
          <w:p>
            <w:pPr>
              <w:spacing w:before="40" w:after="60" w:line="240" w:lineRule="auto"/>
            </w:pPr>
            <w:r>
              <w:rPr>
                <w:b w:val="0"/>
                <w:color w:val="000000"/>
                <w:sz w:val="22"/>
              </w:rPr>
              <w:t>Rol, Usuario, Cliente, Sucursales</w:t>
            </w:r>
          </w:p>
        </w:tc>
      </w:tr>
      <w:tr>
        <w:trPr>
          <w:cantSplit/>
        </w:trPr>
        <w:tc>
          <w:tcPr>
            <w:tcW w:type="dxa" w:w="3385"/>
            <w:vAlign w:val="center"/>
            <w:tcMar>
              <w:top w:w="85" w:type="dxa"/>
              <w:left w:w="85" w:type="dxa"/>
              <w:bottom w:w="85" w:type="dxa"/>
              <w:right w:w="85" w:type="dxa"/>
            </w:tcMar>
            <w:shd w:fill="F1F5F8"/>
          </w:tcPr>
          <w:p>
            <w:pPr>
              <w:spacing w:before="40" w:after="60" w:line="240" w:lineRule="auto"/>
            </w:pPr>
            <w:r>
              <w:rPr>
                <w:b w:val="0"/>
                <w:color w:val="000000"/>
                <w:sz w:val="22"/>
              </w:rPr>
              <w:t>Catálogo</w:t>
            </w:r>
          </w:p>
        </w:tc>
        <w:tc>
          <w:tcPr>
            <w:tcW w:type="dxa" w:w="6140"/>
            <w:vAlign w:val="center"/>
            <w:tcMar>
              <w:top w:w="85" w:type="dxa"/>
              <w:left w:w="85" w:type="dxa"/>
              <w:bottom w:w="85" w:type="dxa"/>
              <w:right w:w="85" w:type="dxa"/>
            </w:tcMar>
            <w:shd w:fill="F1F5F8"/>
          </w:tcPr>
          <w:p>
            <w:pPr>
              <w:spacing w:before="40" w:after="60" w:line="240" w:lineRule="auto"/>
            </w:pPr>
            <w:r>
              <w:rPr>
                <w:b w:val="0"/>
                <w:color w:val="000000"/>
                <w:sz w:val="22"/>
              </w:rPr>
              <w:t>Refrigerantes, Cilindros</w:t>
            </w:r>
          </w:p>
        </w:tc>
      </w:tr>
      <w:tr>
        <w:trPr>
          <w:cantSplit/>
        </w:trPr>
        <w:tc>
          <w:tcPr>
            <w:tcW w:type="dxa" w:w="3385"/>
            <w:vAlign w:val="center"/>
            <w:tcMar>
              <w:top w:w="85" w:type="dxa"/>
              <w:left w:w="85" w:type="dxa"/>
              <w:bottom w:w="85" w:type="dxa"/>
              <w:right w:w="85" w:type="dxa"/>
            </w:tcMar>
          </w:tcPr>
          <w:p>
            <w:pPr>
              <w:spacing w:before="40" w:after="60" w:line="240" w:lineRule="auto"/>
            </w:pPr>
            <w:r>
              <w:rPr>
                <w:b w:val="0"/>
                <w:color w:val="000000"/>
                <w:sz w:val="22"/>
              </w:rPr>
              <w:t>Pedido</w:t>
            </w:r>
          </w:p>
        </w:tc>
        <w:tc>
          <w:tcPr>
            <w:tcW w:type="dxa" w:w="6140"/>
            <w:vAlign w:val="center"/>
            <w:tcMar>
              <w:top w:w="85" w:type="dxa"/>
              <w:left w:w="85" w:type="dxa"/>
              <w:bottom w:w="85" w:type="dxa"/>
              <w:right w:w="85" w:type="dxa"/>
            </w:tcMar>
          </w:tcPr>
          <w:p>
            <w:pPr>
              <w:spacing w:before="40" w:after="60" w:line="240" w:lineRule="auto"/>
            </w:pPr>
            <w:r>
              <w:rPr>
                <w:b w:val="0"/>
                <w:color w:val="000000"/>
                <w:sz w:val="22"/>
              </w:rPr>
              <w:t>OrdenTrabajo, DetalleOT, RetiroPrevisto</w:t>
            </w:r>
          </w:p>
        </w:tc>
      </w:tr>
      <w:tr>
        <w:trPr>
          <w:cantSplit/>
        </w:trPr>
        <w:tc>
          <w:tcPr>
            <w:tcW w:type="dxa" w:w="3385"/>
            <w:vAlign w:val="center"/>
            <w:tcMar>
              <w:top w:w="85" w:type="dxa"/>
              <w:left w:w="85" w:type="dxa"/>
              <w:bottom w:w="85" w:type="dxa"/>
              <w:right w:w="85" w:type="dxa"/>
            </w:tcMar>
            <w:shd w:fill="F1F5F8"/>
          </w:tcPr>
          <w:p>
            <w:pPr>
              <w:spacing w:before="40" w:after="60" w:line="240" w:lineRule="auto"/>
            </w:pPr>
            <w:r>
              <w:rPr>
                <w:b w:val="0"/>
                <w:color w:val="000000"/>
                <w:sz w:val="22"/>
              </w:rPr>
              <w:t>Ejecución</w:t>
            </w:r>
          </w:p>
        </w:tc>
        <w:tc>
          <w:tcPr>
            <w:tcW w:type="dxa" w:w="6140"/>
            <w:vAlign w:val="center"/>
            <w:tcMar>
              <w:top w:w="85" w:type="dxa"/>
              <w:left w:w="85" w:type="dxa"/>
              <w:bottom w:w="85" w:type="dxa"/>
              <w:right w:w="85" w:type="dxa"/>
            </w:tcMar>
            <w:shd w:fill="F1F5F8"/>
          </w:tcPr>
          <w:p>
            <w:pPr>
              <w:spacing w:before="40" w:after="60" w:line="240" w:lineRule="auto"/>
            </w:pPr>
            <w:r>
              <w:rPr>
                <w:b w:val="0"/>
                <w:color w:val="000000"/>
                <w:sz w:val="22"/>
              </w:rPr>
              <w:t>Pesaje, EvidenciaPesaje, Despacho, OperacionTerreno, CustodiaActual, RecepcionBodega</w:t>
            </w:r>
          </w:p>
        </w:tc>
      </w:tr>
      <w:tr>
        <w:trPr>
          <w:cantSplit/>
        </w:trPr>
        <w:tc>
          <w:tcPr>
            <w:tcW w:type="dxa" w:w="3385"/>
            <w:vAlign w:val="center"/>
            <w:tcMar>
              <w:top w:w="85" w:type="dxa"/>
              <w:left w:w="85" w:type="dxa"/>
              <w:bottom w:w="85" w:type="dxa"/>
              <w:right w:w="85" w:type="dxa"/>
            </w:tcMar>
          </w:tcPr>
          <w:p>
            <w:pPr>
              <w:spacing w:before="40" w:after="60" w:line="240" w:lineRule="auto"/>
            </w:pPr>
            <w:r>
              <w:rPr>
                <w:b w:val="0"/>
                <w:color w:val="000000"/>
                <w:sz w:val="22"/>
              </w:rPr>
              <w:t>Control del trabajo</w:t>
            </w:r>
          </w:p>
        </w:tc>
        <w:tc>
          <w:tcPr>
            <w:tcW w:type="dxa" w:w="6140"/>
            <w:vAlign w:val="center"/>
            <w:tcMar>
              <w:top w:w="85" w:type="dxa"/>
              <w:left w:w="85" w:type="dxa"/>
              <w:bottom w:w="85" w:type="dxa"/>
              <w:right w:w="85" w:type="dxa"/>
            </w:tcMar>
          </w:tcPr>
          <w:p>
            <w:pPr>
              <w:spacing w:before="40" w:after="60" w:line="240" w:lineRule="auto"/>
            </w:pPr>
            <w:r>
              <w:rPr>
                <w:b w:val="0"/>
                <w:color w:val="000000"/>
                <w:sz w:val="22"/>
              </w:rPr>
              <w:t>RevisionOT, Incidencia, HistorialCilindro, EventoOT</w:t>
            </w:r>
          </w:p>
        </w:tc>
      </w:tr>
      <w:tr>
        <w:trPr>
          <w:cantSplit/>
        </w:trPr>
        <w:tc>
          <w:tcPr>
            <w:tcW w:type="dxa" w:w="3385"/>
            <w:vAlign w:val="center"/>
            <w:tcMar>
              <w:top w:w="85" w:type="dxa"/>
              <w:left w:w="85" w:type="dxa"/>
              <w:bottom w:w="85" w:type="dxa"/>
              <w:right w:w="85" w:type="dxa"/>
            </w:tcMar>
            <w:shd w:fill="F1F5F8"/>
          </w:tcPr>
          <w:p>
            <w:pPr>
              <w:keepNext/>
              <w:spacing w:before="40" w:after="60" w:line="240" w:lineRule="auto"/>
            </w:pPr>
            <w:r>
              <w:rPr>
                <w:b w:val="0"/>
                <w:color w:val="000000"/>
                <w:sz w:val="22"/>
              </w:rPr>
              <w:t>Límites</w:t>
            </w:r>
          </w:p>
        </w:tc>
        <w:tc>
          <w:tcPr>
            <w:tcW w:type="dxa" w:w="6140"/>
            <w:vAlign w:val="center"/>
            <w:tcMar>
              <w:top w:w="85" w:type="dxa"/>
              <w:left w:w="85" w:type="dxa"/>
              <w:bottom w:w="85" w:type="dxa"/>
              <w:right w:w="85" w:type="dxa"/>
            </w:tcMar>
            <w:shd w:fill="F1F5F8"/>
          </w:tcPr>
          <w:p>
            <w:pPr>
              <w:keepNext/>
              <w:spacing w:before="40" w:after="60" w:line="240" w:lineRule="auto"/>
            </w:pPr>
            <w:r>
              <w:rPr>
                <w:b w:val="0"/>
                <w:color w:val="000000"/>
                <w:sz w:val="22"/>
              </w:rPr>
              <w:t>LimiteSucursal, LimiteSucursalHistorial, MedicionLimite, MedicionLimiteOperaciones, RevisionExceso</w:t>
            </w:r>
          </w:p>
        </w:tc>
      </w:tr>
      <w:tr>
        <w:trPr>
          <w:cantSplit/>
        </w:trPr>
        <w:tc>
          <w:tcPr>
            <w:tcW w:type="dxa" w:w="3385"/>
            <w:vAlign w:val="center"/>
            <w:tcMar>
              <w:top w:w="85" w:type="dxa"/>
              <w:left w:w="85" w:type="dxa"/>
              <w:bottom w:w="85" w:type="dxa"/>
              <w:right w:w="85" w:type="dxa"/>
            </w:tcMar>
          </w:tcPr>
          <w:p>
            <w:pPr>
              <w:spacing w:before="40" w:after="60" w:line="240" w:lineRule="auto"/>
            </w:pPr>
            <w:r>
              <w:rPr>
                <w:b w:val="0"/>
                <w:color w:val="000000"/>
                <w:sz w:val="22"/>
              </w:rPr>
              <w:t>Resultados y disposición</w:t>
            </w:r>
          </w:p>
        </w:tc>
        <w:tc>
          <w:tcPr>
            <w:tcW w:type="dxa" w:w="6140"/>
            <w:vAlign w:val="center"/>
            <w:tcMar>
              <w:top w:w="85" w:type="dxa"/>
              <w:left w:w="85" w:type="dxa"/>
              <w:bottom w:w="85" w:type="dxa"/>
              <w:right w:w="85" w:type="dxa"/>
            </w:tcMar>
          </w:tcPr>
          <w:p>
            <w:pPr>
              <w:spacing w:before="40" w:after="60" w:line="240" w:lineRule="auto"/>
            </w:pPr>
            <w:r>
              <w:rPr>
                <w:b w:val="0"/>
                <w:color w:val="000000"/>
                <w:sz w:val="22"/>
              </w:rPr>
              <w:t>PreciosRefrigerantes, Costos, EstimacionEmisiones, CertificadosDisposicion, CertificadosCilindros, Auditoria, BajaCilindro</w:t>
            </w:r>
          </w:p>
        </w:tc>
      </w:tr>
    </w:tbl>
    <w:p>
      <w:pPr>
        <w:spacing w:after="0"/>
      </w:pPr>
    </w:p>
    <w:p>
      <w:pPr>
        <w:pStyle w:val="Heading1"/>
      </w:pPr>
      <w:r>
        <w:t>9 Vistas para análisis</w:t>
      </w:r>
    </w:p>
    <w:p>
      <w:r>
        <w:t>Las vistas de afrisan_bi_actual preparan consultas del dominio sin configurar un informe de Power BI. Una futura identidad de lectura debe recibir permisos explícitos únicamente sobre las vistas autorizadas. La definición de filtros, actualización, presentación y acceso por rol continúa pendiente. [9] [14]</w:t>
      </w:r>
    </w:p>
    <w:p>
      <w:r>
        <w:t>Las nueve vistas son Inventario, ResumenOT, PesajesRecepcion, LimitesVigentes, ExcesosRegistrados, CostosOperaciones, EmisionesEstimadas, DisposicionesCertificadas y PedidoYEjecucion. Diferencian pedido y ejecución, pesos de terreno y recepción, límites históricos, costos explícitos y estimaciones ambientales. No deben mostrar kilos instalados como gas consumido o emitido.</w:t>
      </w:r>
    </w:p>
    <w:p>
      <w:pPr>
        <w:pStyle w:val="Heading1"/>
      </w:pPr>
      <w:r>
        <w:t>10 Unidades y reglas de interpretación</w:t>
      </w:r>
    </w:p>
    <w:p>
      <w:pPr>
        <w:pStyle w:val="ListBullet"/>
      </w:pPr>
      <w:r>
        <w:t>Los pesos operativos se representan en gramos enteros. Para presentación, 1 kg equivale a 1.000 g. La capacidad expresa masa máxima de gas; la tara expresa masa del envase. [1] [9]</w:t>
      </w:r>
    </w:p>
    <w:p>
      <w:pPr>
        <w:pStyle w:val="ListBullet"/>
      </w:pPr>
      <w:r>
        <w:t>Contenido según pesaje = peso bruto menos tara. Si no existe una lectura válida, el contenido es desconocido; no se usa la capacidad para simular una lectura. [1] [9]</w:t>
      </w:r>
    </w:p>
    <w:p>
      <w:pPr>
        <w:pStyle w:val="ListBullet"/>
      </w:pPr>
      <w:r>
        <w:t>El cilindro instalado y el retirado tienen identidades diferentes. Restar directamente sus pesos no determina consumo, pérdida ni emisión. [1] [9]</w:t>
      </w:r>
    </w:p>
    <w:p>
      <w:pPr>
        <w:pStyle w:val="ListBullet"/>
      </w:pPr>
      <w:r>
        <w:t>La diferencia de recepción compara la lectura de Bodega y la de terreno del mismo cilindro. Un caso de prueba conserva una diferencia de 50 g para revisión humana. No se definió una tolerancia automática de aceptación. [1] [11]</w:t>
      </w:r>
    </w:p>
    <w:p>
      <w:pPr>
        <w:pStyle w:val="ListBullet"/>
        <w:keepNext/>
      </w:pPr>
      <w:r>
        <w:t>Los costos requieren concepto, cantidad, unidad, tarifa y moneda. Una emisión requiere masa emitida, factor, fuente y metodología. La ausencia de una estimación no equivale a cero emisiones. [1] [9]</w:t>
      </w:r>
    </w:p>
    <w:p>
      <w:pPr>
        <w:pStyle w:val="ListBullet"/>
      </w:pPr>
      <w:r>
        <w:t>Los límites Semana y Mes conservan versión y vigencia por sucursal. Jefatura puede bloquear a Bodega y habilitarla nuevamente. La masa computable, calendario, fecha aplicable y desglose por gas siguen pendientes de acuerdo; no se activa un bloqueo automático por exceso. [1] [9]</w:t>
      </w:r>
    </w:p>
    <w:p>
      <w:pPr>
        <w:pStyle w:val="Heading1"/>
      </w:pPr>
      <w:r>
        <w:t>11 Identidad y almacenamiento de evidencias</w:t>
      </w:r>
    </w:p>
    <w:p>
      <w:r>
        <w:t>La demostración dispone de cinco cuentas de revisión en memoria: Bodega, Técnico, Autorizador, Jefatura y Administrador. La API emite JWT con validación de firma, emisor, audiencia y vencimiento, y aplica controles de rol en puntos de acceso y almacenes de datos. Estas cuentas públicas no representan usuarios operativos ni un servicio de autenticación de producción. [2] [3]</w:t>
      </w:r>
    </w:p>
    <w:p>
      <w:r>
        <w:t>El SQL de destino tiene RLS habilitado en todas sus tablas, revoca acceso general y no publica políticas para el navegador. El servidor deberá aprovisionar usuarios y una identidad PostgreSQL de servidor, verificar la sesión y establecer el actor en la misma transacción. Las pruebas realizadas como propietario de instalación no acreditan los permisos que tendrá esa identidad futura. [9]</w:t>
      </w:r>
    </w:p>
    <w:p>
      <w:r>
        <w:t>EvidenciaPesaje guarda metadatos de objetos privados, incluido tipo de archivo, tamaño y SHA-256. La API persistente deberá verificar el archivo real, el acceso a almacenamiento de archivos y su asociación al pesaje. Una ruta o un huella digital declarado por el cliente no certifica una fotografía real. En el prototipo las fotos se conservan en memoria y se consultan por puntos de acceso autenticados. [4] [9]</w:t>
      </w:r>
    </w:p>
    <w:p>
      <w:pPr>
        <w:pStyle w:val="Heading1"/>
      </w:pPr>
      <w:r>
        <w:t>12 Secuencia para completar la integración</w:t>
      </w:r>
    </w:p>
    <w:p>
      <w:pPr>
        <w:pStyle w:val="ListBullet"/>
      </w:pPr>
      <w:r>
        <w:t>Ratificar reglas pendientes: ingreso sin primer pesaje, distribución de permisos, cómputo de límites, rechazo y reenvío de una revisión y rectificación material posterior a aprobación. [8] [9]</w:t>
      </w:r>
    </w:p>
    <w:p>
      <w:pPr>
        <w:pStyle w:val="ListBullet"/>
      </w:pPr>
      <w:r>
        <w:t>Aprovisionar un entorno de prueba persistente, identidad de servidor, usuarios y almacenamiento privado de fotos; conservar los esquemas y aportes históricos. [8] [9]</w:t>
      </w:r>
    </w:p>
    <w:p>
      <w:pPr>
        <w:pStyle w:val="ListBullet"/>
      </w:pPr>
      <w:r>
        <w:t>Mapear contratos, UUID e identidades internas; sustituir InventarioStore y TrabajoStore por repositorios y transacciones persistentes sin perder las validaciones del flujo. [8] [9]</w:t>
      </w:r>
    </w:p>
    <w:p>
      <w:pPr>
        <w:pStyle w:val="ListBullet"/>
      </w:pPr>
      <w:r>
        <w:t>Repetir los recorridos vigentes después de reiniciar la API y comprobar conservación de registros y fotografías. Añadir pruebas de concurrencia, autorización con usuarios reales y permisos del servidor. [8] [9]</w:t>
      </w:r>
    </w:p>
    <w:p>
      <w:pPr>
        <w:pStyle w:val="ListBullet"/>
        <w:keepNext/>
      </w:pPr>
      <w:r>
        <w:t>Validar cámara física, consulta y guardado sin red, recuperación de conexión y conflictos de varios dispositivos. No declarar estas capacidades aceptadas por la presencia de borradores locales. [7] [8] [9]</w:t>
      </w:r>
    </w:p>
    <w:p>
      <w:pPr>
        <w:pStyle w:val="ListBullet"/>
      </w:pPr>
      <w:r>
        <w:t>Consolidar datos y definiciones de indicadores; implementar Power BI y acordar la integración con Defontana y la gestión de certificados. Realizar validación del cliente antes de declarar listo el uso operativo. [8] [9] [14]</w:t>
      </w:r>
    </w:p>
    <w:p>
      <w:pPr>
        <w:pStyle w:val="Heading1"/>
      </w:pPr>
      <w:r>
        <w:t>13 Fuentes y antecedentes</w:t>
      </w:r>
    </w:p>
    <w:p>
      <w:pPr>
        <w:keepNext/>
        <w:keepLines/>
      </w:pPr>
      <w:r>
        <w:t>Las citas numéricas del texto remiten a las referencias siguientes. Los antecedentes se conservan en ANEXOS/FUENTES con su estructura y autoría originales; los enlaces abren esas copias. Las fechas de los ensayos corresponden a las ejecuciones guardadas. La revisión documental no incorpora nuevas pruebas de la aplicación. Cuando la fuente no declara una fecha editorial se indica s. f.</w:t>
      </w:r>
    </w:p>
    <w:p>
      <w:pPr>
        <w:keepLines/>
        <w:spacing w:after="120"/>
      </w:pPr>
      <w:r>
        <w:t xml:space="preserve">[1] Moya, Dante. (2026). Retiro por el técnico, cambio y revisión posterior [Definición de negocio registrada en el proyecto]. </w:t>
      </w:r>
      <w:hyperlink r:id="rId10">
        <w:r>
          <w:rPr>
            <w:color w:val="24445F"/>
          </w:rPr>
          <w:t>AFRISAN_​NUEVO/​01_​NEGOCIO/​12_​FLUJO_​TERRENO_​DESPACHO_​Y_​REVISION.md</w:t>
        </w:r>
      </w:hyperlink>
    </w:p>
    <w:p>
      <w:pPr>
        <w:keepLines/>
        <w:spacing w:after="120"/>
      </w:pPr>
      <w:r>
        <w:t xml:space="preserve">[2] Proyecto AFRISAN. (2026). AFRISAN nuevo: primera entrega de inventario [Documentación técnica del proyecto]. </w:t>
      </w:r>
      <w:hyperlink r:id="rId11">
        <w:r>
          <w:rPr>
            <w:color w:val="24445F"/>
          </w:rPr>
          <w:t>AFRISAN_​NUEVO/​03_​CODIGO/​README.md</w:t>
        </w:r>
      </w:hyperlink>
    </w:p>
    <w:p>
      <w:pPr>
        <w:keepLines/>
        <w:spacing w:after="120"/>
      </w:pPr>
      <w:r>
        <w:t xml:space="preserve">[3] Proyecto AFRISAN. (s. f.). Configuración de la API de AFRISAN [Archivo de código fuente]. </w:t>
      </w:r>
      <w:hyperlink r:id="rId12">
        <w:r>
          <w:rPr>
            <w:color w:val="24445F"/>
          </w:rPr>
          <w:t>AFRISAN_​NUEVO/​03_​CODIGO/​Afrisan.Nuevo.Api/​Program.cs</w:t>
        </w:r>
      </w:hyperlink>
    </w:p>
    <w:p>
      <w:pPr>
        <w:keepLines/>
        <w:spacing w:after="120"/>
      </w:pPr>
      <w:r>
        <w:t xml:space="preserve">[4] Proyecto AFRISAN. (s. f.). Puntos de acceso del flujo de trabajo técnico [Archivo de código fuente]. </w:t>
      </w:r>
      <w:hyperlink r:id="rId13">
        <w:r>
          <w:rPr>
            <w:color w:val="24445F"/>
          </w:rPr>
          <w:t>AFRISAN_​NUEVO/​03_​CODIGO/​Afrisan.Nuevo.Api/​TrabajoEndpoints.cs</w:t>
        </w:r>
      </w:hyperlink>
    </w:p>
    <w:p>
      <w:pPr>
        <w:keepLines/>
        <w:spacing w:after="120"/>
      </w:pPr>
      <w:r>
        <w:t xml:space="preserve">[5] Proyecto AFRISAN. (s. f.). Contratos del trabajo técnico [Archivo de código fuente]. </w:t>
      </w:r>
      <w:hyperlink r:id="rId14">
        <w:r>
          <w:rPr>
            <w:color w:val="24445F"/>
          </w:rPr>
          <w:t>AFRISAN_​NUEVO/​03_​CODIGO/​Afrisan.Nuevo.Contratos/​TrabajoTecnico.cs</w:t>
        </w:r>
      </w:hyperlink>
    </w:p>
    <w:p>
      <w:pPr>
        <w:keepLines/>
        <w:spacing w:after="120"/>
      </w:pPr>
      <w:r>
        <w:t xml:space="preserve">[6] Proyecto AFRISAN. (s. f.). Contratos de inventario y roles [Archivo de código fuente]. </w:t>
      </w:r>
      <w:hyperlink r:id="rId15">
        <w:r>
          <w:rPr>
            <w:color w:val="24445F"/>
          </w:rPr>
          <w:t>AFRISAN_​NUEVO/​03_​CODIGO/​Afrisan.Nuevo.Contratos/​Inventario.cs</w:t>
        </w:r>
      </w:hyperlink>
    </w:p>
    <w:p>
      <w:pPr>
        <w:keepLines/>
        <w:spacing w:after="120"/>
      </w:pPr>
      <w:r>
        <w:t xml:space="preserve">[7] Proyecto AFRISAN. (s. f.). Servicio de trabajo local de la aplicación web [Archivo de código fuente]. </w:t>
      </w:r>
      <w:hyperlink r:id="rId16">
        <w:r>
          <w:rPr>
            <w:color w:val="24445F"/>
          </w:rPr>
          <w:t>AFRISAN_​NUEVO/​03_​CODIGO/​Afrisan.Nuevo.Web/​Services/​TrabajoLocalService.cs</w:t>
        </w:r>
      </w:hyperlink>
    </w:p>
    <w:p>
      <w:pPr>
        <w:keepLines/>
        <w:spacing w:after="120"/>
      </w:pPr>
      <w:r>
        <w:t xml:space="preserve">[8] Proyecto AFRISAN. (2026). Base de datos del contexto actual de AFRISAN [Documentación técnica del proyecto]. </w:t>
      </w:r>
      <w:hyperlink r:id="rId17">
        <w:r>
          <w:rPr>
            <w:color w:val="24445F"/>
          </w:rPr>
          <w:t>AFRISAN_​NUEVO/​02_​BASE_​DATOS/​README.md</w:t>
        </w:r>
      </w:hyperlink>
    </w:p>
    <w:p>
      <w:pPr>
        <w:keepLines/>
        <w:spacing w:after="120"/>
      </w:pPr>
      <w:r>
        <w:t xml:space="preserve">[9] Proyecto AFRISAN. (2026). Instalación del esquema del contexto actual de AFRISAN [Script SQL del proyecto]. </w:t>
      </w:r>
      <w:hyperlink r:id="rId18">
        <w:r>
          <w:rPr>
            <w:color w:val="24445F"/>
          </w:rPr>
          <w:t>AFRISAN_​NUEVO/​02_​BASE_​DATOS/​04_​Crear_​Afrisan_​Contexto_​Actual.sql</w:t>
        </w:r>
      </w:hyperlink>
    </w:p>
    <w:p>
      <w:pPr>
        <w:keepLines/>
        <w:spacing w:after="120"/>
      </w:pPr>
      <w:r>
        <w:t xml:space="preserve">[10] Proyecto AFRISAN. (2026). Flujo de terreno corregido según Dante [Registro de validación técnica]. </w:t>
      </w:r>
      <w:hyperlink r:id="rId19">
        <w:r>
          <w:rPr>
            <w:color w:val="24445F"/>
          </w:rPr>
          <w:t>AFRISAN_​NUEVO/​04_​SEGUIMIENTO/​FLUJO_​TERRENO_​2026_​10_​25/​README.md</w:t>
        </w:r>
      </w:hyperlink>
    </w:p>
    <w:p>
      <w:pPr>
        <w:keepLines/>
        <w:spacing w:after="120"/>
      </w:pPr>
      <w:r>
        <w:t xml:space="preserve">[11] Proyecto AFRISAN. (2026). Validación del SQL del contexto actual [Registro de validación técnica]. </w:t>
      </w:r>
      <w:hyperlink r:id="rId20">
        <w:r>
          <w:rPr>
            <w:color w:val="24445F"/>
          </w:rPr>
          <w:t>AFRISAN_​NUEVO/​04_​SEGUIMIENTO/​VALIDACION_​SQL_​CONTEXTO_​2026_​10_​25/​README.md</w:t>
        </w:r>
      </w:hyperlink>
    </w:p>
    <w:p>
      <w:pPr>
        <w:keepLines/>
        <w:spacing w:after="120"/>
      </w:pPr>
      <w:r>
        <w:t xml:space="preserve">[12] Proyecto AFRISAN. (2026). Corrección de selección de cilindros y lectura QR [Registro de validación técnica]. </w:t>
      </w:r>
      <w:hyperlink r:id="rId21">
        <w:r>
          <w:rPr>
            <w:color w:val="24445F"/>
          </w:rPr>
          <w:t>AFRISAN_​NUEVO/​04_​SEGUIMIENTO/​VALIDACION_​QR_​Y_​SELECCION_​2026_​10_​22/​README.md</w:t>
        </w:r>
      </w:hyperlink>
    </w:p>
    <w:p>
      <w:pPr>
        <w:keepLines/>
        <w:spacing w:after="120"/>
      </w:pPr>
      <w:r>
        <w:t xml:space="preserve">[13] Larraguibel, Yarek. (2026). Arquitectura de software: vistas 4+1 de AFRISAN, versión 1.0 [Documento de arquitectura histórico]. </w:t>
      </w:r>
      <w:hyperlink r:id="rId22">
        <w:r>
          <w:rPr>
            <w:color w:val="24445F"/>
          </w:rPr>
          <w:t>ARQUITECTURA/​VISTAS_​4_​1/​Actual/​02_​Arquitectura_​4_​1.docx</w:t>
        </w:r>
      </w:hyperlink>
    </w:p>
    <w:p>
      <w:pPr>
        <w:keepLines/>
        <w:spacing w:after="120"/>
      </w:pPr>
      <w:r>
        <w:t xml:space="preserve">[14] Moya, Dante. (2026). Módulo de gráficos con Power BI [Definición de negocio registrada en el proyecto]. </w:t>
      </w:r>
      <w:hyperlink r:id="rId23">
        <w:r>
          <w:rPr>
            <w:color w:val="24445F"/>
          </w:rPr>
          <w:t>AFRISAN_​NUEVO/​01_​NEGOCIO/​11_​MODULO_​POWER_​BI.md</w:t>
        </w:r>
      </w:hyperlink>
    </w:p>
    <w:sectPr w:rsidR="00FC693F" w:rsidRPr="0006063C" w:rsidSect="00034616">
      <w:footerReference w:type="default" r:id="rId24"/>
      <w:pgSz w:w="11906" w:h="16838"/>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AFRISAN DM · Página </w:t>
    </w:r>
    <w:fldSimple w:instr="PAGE"/>
    <w:r>
      <w:rPr>
        <w:sz w:val="18"/>
      </w:rPr>
      <w:t xml:space="preserve"> de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CL"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40" w:lineRule="auto"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40" w:lineRule="auto"/>
    </w:pPr>
    <w:rPr>
      <w:rFonts w:ascii="Calibri" w:hAnsi="Calibri"/>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after="120"/>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after="120"/>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FUENTES/AFRISAN_NUEVO/01_NEGOCIO/12_FLUJO_TERRENO_DESPACHO_Y_REVISION.md" TargetMode="External"/><Relationship Id="rId11" Type="http://schemas.openxmlformats.org/officeDocument/2006/relationships/hyperlink" Target="FUENTES/AFRISAN_NUEVO/03_CODIGO/README.md" TargetMode="External"/><Relationship Id="rId12" Type="http://schemas.openxmlformats.org/officeDocument/2006/relationships/hyperlink" Target="FUENTES/AFRISAN_NUEVO/03_CODIGO/Afrisan.Nuevo.Api/Program.cs" TargetMode="External"/><Relationship Id="rId13" Type="http://schemas.openxmlformats.org/officeDocument/2006/relationships/hyperlink" Target="FUENTES/AFRISAN_NUEVO/03_CODIGO/Afrisan.Nuevo.Api/TrabajoEndpoints.cs" TargetMode="External"/><Relationship Id="rId14" Type="http://schemas.openxmlformats.org/officeDocument/2006/relationships/hyperlink" Target="FUENTES/AFRISAN_NUEVO/03_CODIGO/Afrisan.Nuevo.Contratos/TrabajoTecnico.cs" TargetMode="External"/><Relationship Id="rId15" Type="http://schemas.openxmlformats.org/officeDocument/2006/relationships/hyperlink" Target="FUENTES/AFRISAN_NUEVO/03_CODIGO/Afrisan.Nuevo.Contratos/Inventario.cs" TargetMode="External"/><Relationship Id="rId16" Type="http://schemas.openxmlformats.org/officeDocument/2006/relationships/hyperlink" Target="FUENTES/AFRISAN_NUEVO/03_CODIGO/Afrisan.Nuevo.Web/Services/TrabajoLocalService.cs" TargetMode="External"/><Relationship Id="rId17" Type="http://schemas.openxmlformats.org/officeDocument/2006/relationships/hyperlink" Target="FUENTES/AFRISAN_NUEVO/02_BASE_DATOS/README.md" TargetMode="External"/><Relationship Id="rId18" Type="http://schemas.openxmlformats.org/officeDocument/2006/relationships/hyperlink" Target="FUENTES/AFRISAN_NUEVO/02_BASE_DATOS/04_Crear_Afrisan_Contexto_Actual.sql" TargetMode="External"/><Relationship Id="rId19" Type="http://schemas.openxmlformats.org/officeDocument/2006/relationships/hyperlink" Target="FUENTES/AFRISAN_NUEVO/04_SEGUIMIENTO/FLUJO_TERRENO_2026_10_25/README.md" TargetMode="External"/><Relationship Id="rId20" Type="http://schemas.openxmlformats.org/officeDocument/2006/relationships/hyperlink" Target="FUENTES/AFRISAN_NUEVO/04_SEGUIMIENTO/VALIDACION_SQL_CONTEXTO_2026_10_25/README.md" TargetMode="External"/><Relationship Id="rId21" Type="http://schemas.openxmlformats.org/officeDocument/2006/relationships/hyperlink" Target="FUENTES/AFRISAN_NUEVO/04_SEGUIMIENTO/VALIDACION_QR_Y_SELECCION_2026_10_22/README.md" TargetMode="External"/><Relationship Id="rId22" Type="http://schemas.openxmlformats.org/officeDocument/2006/relationships/hyperlink" Target="FUENTES/ARQUITECTURA/VISTAS_4_1/Actual/02_Arquitectura_4_1.docx" TargetMode="External"/><Relationship Id="rId23" Type="http://schemas.openxmlformats.org/officeDocument/2006/relationships/hyperlink" Target="FUENTES/AFRISAN_NUEVO/01_NEGOCIO/11_MODULO_POWER_BI.md" TargetMode="External"/><Relationship Id="rId2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Arquitectura y modelo de datos del nuevo AFRISAN</dc:title>
  <dc:subject>Nuevo AFRISAN · Documentación APT en español · Revisión 29/10/2026</dc:subject>
  <dc:creator>Dante Moya</dc:creator>
  <cp:keywords/>
  <dc:description>Actualización documental con conservación de antecedentes y autoría histórica.</dc:description>
  <cp:lastModifiedBy/>
  <cp:revision>1</cp:revision>
  <dcterms:created xsi:type="dcterms:W3CDTF">2013-12-23T23:15:00Z</dcterms:created>
  <dcterms:modified xsi:type="dcterms:W3CDTF">2013-12-23T23:15:00Z</dcterms:modified>
  <cp:category/>
  <dc:language>es-CL</dc:language>
</cp:coreProperties>
</file>